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>
          <w:sz w:val="0"/>
        </w:rPr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ФЕДЕРАЛЬНАЯ СЛУЖБА ПО НАДЗОРУ В СФЕРЕ ЗАЩИТЫ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ПРАВ ПОТРЕБИТЕЛЕЙ И БЛАГОПОЛУЧИЯ ЧЕЛОВЕКА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ГЛАВНЫЙ ГОСУДАРСТВЕННЫЙ САНИТАРНЫЙ ВРАЧ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РОССИЙСКОЙ ФЕДЕРАЦИИ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ПОСТАНОВЛЕНИЕ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от 28 сентября 2020 г. N 28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ОБ УТВЕРЖДЕНИИ САНИТАРНЫХ ПРАВИЛ СП 2.4.3648-20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"САНИТАРНО-ЭПИДЕМИОЛОГИЧЕСКИЕ ТРЕБОВАНИЯ К ОРГАНИЗАЦИЯМ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ВОСПИТАНИЯ И ОБУЧЕНИЯ, ОТДЫХА И ОЗДОРОВЛЕНИЯ ДЕТЕЙ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МОЛОДЕЖИ"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В соответствии со </w:t>
      </w:r>
      <w:hyperlink r:id="rId2">
        <w:r>
          <w:rPr>
            <w:color w:val="0000FF"/>
          </w:rPr>
          <w:t>статьей 39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2019, N 30, ст. 4134) и </w:t>
      </w:r>
      <w:hyperlink r:id="rId3">
        <w:r>
          <w:rPr>
            <w:color w:val="0000FF"/>
          </w:rPr>
          <w:t>постановлением</w:t>
        </w:r>
      </w:hyperlink>
      <w:r>
        <w:rPr/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N 47, ст. 4666; 2005, N 39, ст. 3953) постановляю: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1. Утвердить санитарные </w:t>
      </w:r>
      <w:hyperlink w:anchor="Par71">
        <w:r>
          <w:rPr>
            <w:color w:val="0000FF"/>
          </w:rPr>
          <w:t>правила</w:t>
        </w:r>
      </w:hyperlink>
      <w:r>
        <w:rPr/>
        <w:t xml:space="preserve"> СП 2.4.3648-20 "Санитарно-эпидемиологические требования к организациям воспитания и обучения, отдыха и оздоровления детей и молодежи" (приложение).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 Ввести в действие санитарные </w:t>
      </w:r>
      <w:hyperlink w:anchor="Par71">
        <w:r>
          <w:rPr>
            <w:color w:val="0000FF"/>
          </w:rPr>
          <w:t>правила</w:t>
        </w:r>
      </w:hyperlink>
      <w:r>
        <w:rPr/>
        <w:t xml:space="preserve"> СП 2.4.3648-20 "Санитарно-эпидемиологические требования к организациям воспитания и обучения, отдыха и оздоровления детей и молодежи" с 01.01.2021.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 Установить срок действия санитарных </w:t>
      </w:r>
      <w:hyperlink w:anchor="Par71">
        <w:r>
          <w:rPr>
            <w:color w:val="0000FF"/>
          </w:rPr>
          <w:t>правил</w:t>
        </w:r>
      </w:hyperlink>
      <w:r>
        <w:rPr/>
        <w:t xml:space="preserve"> СП 2.4.3648-20 "Санитарно-эпидемиологические требования к организациям воспитания и обучения, отдыха и оздоровления детей и молодежи" до 01.01.2027.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 Признать утратившими силу с 01.01.2021: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4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20.11.2002 N 38 "О введении в действие Санитарных правил и нормативов" (зарегистрировано Минюстом России 19.12.2002, регистрационный N 4046);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5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28.01.2003 N 2 "О введении в действие санитарно-эпидемиологических правил и нормативов СанПиН 2.4.3.1186-03" (зарегистрировано Минюстом России 11.02.2003, регистрационный N 4204);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6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17.04.2003 N 51 "О введении в действие санитарно-эпидемиологических правил и нормативов СанПиН 2.4.7/1.1.1286-03" (зарегистрировано Минюстом России 05.05.2003, регистрационный N 4499);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7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03.06.2003 N 118 "О введении в действие санитарно-эпидемиологических правил и нормативов СанПиН 2.2.2/2.4.1340-03" (зарегистрировано Минюстом России 10.06.2003, регистрационный N 4673);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8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25.04.2007 N 22 "Об утверждении СанПиН 2.2.2/2.4.2198-07" (зарегистрировано Минюстом России 07.06.2007, регистрационный N 9615);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9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28.04.2007 N 24 "Об утверждении СанПиН 2.4.3.2201-07" (зарегистрировано Минюстом России 07.06.2007, регистрационный N 9610);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0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23.07.2008 N 45 "Об утверждении СанПиН 2.4.5.2409-08" (зарегистрировано Минюстом России 07.08.2008, регистрационный N 12085);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1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30.09.2009 N 58 "Об утверждении СанПиН 2.4.6.2553-09" (зарегистрировано Минюстом России 05.11.2009, регистрационный N 15172);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2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30.09.2009 N 59 "Об утверждении СанПиН 2.4.3.2554-09" (зарегистрировано Минюстом России 06.11.2009, регистрационный N 15197);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3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19.04.2010 N 25 "Об утверждении СанПиН 2.4.4.2599-10" (зарегистрировано Минюстом России 26.05.2010, регистрационный N 17378);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4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30.04.2010 N 48 "Об утверждении СанПиН 2.2.2/2.4.2620-10" (зарегистрировано Минюстом России 07.06.2010, регистрационный N 17481);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5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28.06.2010 N 72 "Об утверждении СанПиН 2.4.7/1.1.2651-10" (зарегистрировано Минюстом России 22.07.2010, регистрационный N 17944);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6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03.09.2010 N 116 "Об утверждении СанПиН 2.2.2/2.4.2732-10 "Изменение N 3 к СанПиН 2.2.2/2.4.1340-03 "Гигиенические требования к персональным электронно-вычислительным машинам и организации работы" (зарегистрировано Минюстом России 18.10.2010, регистрационный N 18748);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7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29.12.2010 N 189 "Об утверждении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03.03.2011, регистрационный N 19993);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8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04.03.2011 N 17 "Об утверждении СанПиН 2.4.3.2841-11 "Изменения N 3 к СанПиН 2.4.3.1186-03 "Санитарно-эпидемиологические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образования" (зарегистрировано Минюстом России 29.03.2011, регистрационный N 20327);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9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18.03.2011 N 22 "Об утверждении СанПиН 2.4.2.2842-11 "Санитарно-эпидемиологические требования к устройству, содержанию и организации работы лагерей труда и отдыха для подростков" (зарегистрировано Минюстом России 24.03.2011, регистрационный N 20277);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0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29.06.2011 N 85 "Об утверждении СанПиН 2.4.2.2883-11 "Изменения N 1 к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15.12.2011, регистрационный N 22637);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1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18.03.2011 N 21 "Об утверждении СанПиН 2.4.2.2843-11 "Санитарно-эпидемиологические требования к устройству, содержанию и организации работы детских санаториев" (зарегистрировано Минюстом России 24.03.2011, регистрационный N 20279);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2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14.05.2013 N 25 "Об утверждении СанПиН 2.4.4.3048-13 "Санитарно-эпидемиологические требования к устройству и организации работы детских лагерей палаточного типа" (зарегистрировано Минюстом России 29.05.2013, регистрационный N 28563);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3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29.05.2013, регистрационный N 28564);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4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19.12.2013 N 68 "Об утверждении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03.02.2014, регистрационный N 31209);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5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25.12.2013 N 72 "О внесении изменений N 2 в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27.03.2014, регистрационный N 31751);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6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27.12.2013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(зарегистрировано Минюстом России 18.04.2014, регистрационный N 32024);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7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04.07.2014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(зарегистрировано Минюстом России 20.08.2014, регистрационный N 33660);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8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02.12.2014 N 78 "О признании утратившим силу пункта 2.2 СанПиН 2.4.7.1166-02 "Гигиенические требования к изданиям учебным для общего и начального профессионального образования" (зарегистрировано Минюстом России 11.12.2014, регистрационный N 35144);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29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09.02.2015 N 8 "Об утверждении СанПиН 2.4.3259-15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(зарегистрировано Минюстом России 26.03.2015, регистрационный N 36571);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0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20.07.2015 N 28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03.08.2015, регистрационный N 38312);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1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(зарегистрировано Минюстом России 14.08.2015, регистрационный N 38528);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2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27.08.2015 N 41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04.09.2015, регистрационный N 38824);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3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24.11.2015 N 81 "О внесении изменений N 3 в СанПиН 2.4.2.2821-10 "Санитарно-эпидемиологические требования к условиям и организации обучения, содержания в общеобразовательных организациях" (зарегистрировано Минюстом России 18.12.2015, регистрационный N 40154);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4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14.08.2015 N 38 "О внесении изменений в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19.08.2015, регистрационный N 38591);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5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22.03.2017 N 38 "О внесении изменений в СанПиН 2.4.4.2599-10, СанПиН 2.4.4.3155-13, СанПиН 2.4.4.3048-13, СанПиН 2.4.2.2842-11" (зарегистрировано Минюстом России 11.04.2017, регистрационный N 46337);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6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25.03.2019 N 6 "О внесении изменений в постановление Главного государственного санитарного врача Российской Федерации от 23.07.2008 N 45 "Об утверждении СанПиН 2.4.5.2409-08" (зарегистрировано Минюстом России 08.04.2019, регистрационный N 54310);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37">
        <w:r>
          <w:rPr>
            <w:color w:val="0000FF"/>
          </w:rPr>
          <w:t>постановление</w:t>
        </w:r>
      </w:hyperlink>
      <w:r>
        <w:rPr/>
        <w:t xml:space="preserve"> Главного государственного санитарного врача Российской Федерации от 22.05.2019 N 8 "О внесении изменений в 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28.05.2019, регистрационный N 54764).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А.Ю.ПОПОВА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left="0" w:hanging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left="0" w:hanging="0"/>
        <w:jc w:val="right"/>
        <w:rPr/>
      </w:pPr>
      <w:r>
        <w:rPr/>
        <w:t>Главного государственного</w:t>
      </w:r>
    </w:p>
    <w:p>
      <w:pPr>
        <w:pStyle w:val="ConsPlusNormal"/>
        <w:bidi w:val="0"/>
        <w:ind w:left="0" w:hanging="0"/>
        <w:jc w:val="right"/>
        <w:rPr/>
      </w:pPr>
      <w:r>
        <w:rPr/>
        <w:t>санитарного врача</w:t>
      </w:r>
    </w:p>
    <w:p>
      <w:pPr>
        <w:pStyle w:val="ConsPlusNormal"/>
        <w:bidi w:val="0"/>
        <w:ind w:left="0" w:hanging="0"/>
        <w:jc w:val="right"/>
        <w:rPr/>
      </w:pPr>
      <w:r>
        <w:rPr/>
        <w:t>Российской Федерации</w:t>
      </w:r>
    </w:p>
    <w:p>
      <w:pPr>
        <w:pStyle w:val="ConsPlusNormal"/>
        <w:bidi w:val="0"/>
        <w:ind w:left="0" w:hanging="0"/>
        <w:jc w:val="right"/>
        <w:rPr/>
      </w:pPr>
      <w:r>
        <w:rPr/>
        <w:t>от 28.09.2020 N 28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0" w:name="Par71"/>
      <w:bookmarkEnd w:id="0"/>
      <w:r>
        <w:rPr>
          <w:b/>
        </w:rPr>
        <w:t>САНИТАРНЫЕ ПРАВИЛА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СП 2.4.3648-20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"САНИТАРНО-ЭПИДЕМИОЛОГИЧЕСКИЕ ТРЕБОВАНИЯ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К ОРГАНИЗАЦИЯМ ВОСПИТАНИЯ И ОБУЧЕНИЯ, ОТДЫХА И ОЗДОРОВЛЕНИЯ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ДЕТЕЙ И МОЛОДЕЖИ"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1. Область применения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bookmarkStart w:id="1" w:name="Par80"/>
      <w:bookmarkEnd w:id="1"/>
      <w:r>
        <w:rPr/>
        <w:t>1.1. 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1.2.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 </w:t>
      </w:r>
      <w:hyperlink w:anchor="Par80">
        <w:r>
          <w:rPr>
            <w:color w:val="0000FF"/>
          </w:rPr>
          <w:t>пунктом 1.1</w:t>
        </w:r>
      </w:hyperlink>
      <w:r>
        <w:rPr/>
        <w:t xml:space="preserve"> Правил (далее - Хозяйствующие субъекты).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Правила не распространяются на проведение экскурсионных мероприятий и организованных походов.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1.3. 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 </w:t>
      </w:r>
      <w:hyperlink w:anchor="Par80">
        <w:r>
          <w:rPr>
            <w:color w:val="0000FF"/>
          </w:rPr>
          <w:t>пунктом 1.1</w:t>
        </w:r>
      </w:hyperlink>
      <w:r>
        <w:rPr/>
        <w:t xml:space="preserve"> Правил (далее - объекты), должны соблюдаться требования Правил, установленные </w:t>
      </w:r>
      <w:hyperlink w:anchor="Par119">
        <w:r>
          <w:rPr>
            <w:color w:val="0000FF"/>
          </w:rPr>
          <w:t>пунктами 2.1.1</w:t>
        </w:r>
      </w:hyperlink>
      <w:r>
        <w:rPr/>
        <w:t>, 2.1.2 (</w:t>
      </w:r>
      <w:hyperlink w:anchor="Par120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121">
        <w:r>
          <w:rPr>
            <w:color w:val="0000FF"/>
          </w:rPr>
          <w:t>второй</w:t>
        </w:r>
      </w:hyperlink>
      <w:r>
        <w:rPr/>
        <w:t xml:space="preserve">, </w:t>
      </w:r>
      <w:hyperlink w:anchor="Par123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124">
        <w:r>
          <w:rPr>
            <w:color w:val="0000FF"/>
          </w:rPr>
          <w:t>пятый</w:t>
        </w:r>
      </w:hyperlink>
      <w:r>
        <w:rPr/>
        <w:t xml:space="preserve">), </w:t>
      </w:r>
      <w:hyperlink w:anchor="Par125">
        <w:r>
          <w:rPr>
            <w:color w:val="0000FF"/>
          </w:rPr>
          <w:t>2.1.3</w:t>
        </w:r>
      </w:hyperlink>
      <w:r>
        <w:rPr/>
        <w:t>, 2.2.1 (</w:t>
      </w:r>
      <w:hyperlink w:anchor="Par127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130">
        <w:r>
          <w:rPr>
            <w:color w:val="0000FF"/>
          </w:rPr>
          <w:t>четвертый</w:t>
        </w:r>
      </w:hyperlink>
      <w:r>
        <w:rPr/>
        <w:t>), 2.2.2 (</w:t>
      </w:r>
      <w:hyperlink w:anchor="Par131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134">
        <w:r>
          <w:rPr>
            <w:color w:val="0000FF"/>
          </w:rPr>
          <w:t>четвертый</w:t>
        </w:r>
      </w:hyperlink>
      <w:r>
        <w:rPr/>
        <w:t>), 2.2.3 (</w:t>
      </w:r>
      <w:hyperlink w:anchor="Par135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137">
        <w:r>
          <w:rPr>
            <w:color w:val="0000FF"/>
          </w:rPr>
          <w:t>третий</w:t>
        </w:r>
      </w:hyperlink>
      <w:r>
        <w:rPr/>
        <w:t xml:space="preserve">), </w:t>
      </w:r>
      <w:hyperlink w:anchor="Par139">
        <w:r>
          <w:rPr>
            <w:color w:val="0000FF"/>
          </w:rPr>
          <w:t>2.2.5</w:t>
        </w:r>
      </w:hyperlink>
      <w:r>
        <w:rPr/>
        <w:t xml:space="preserve">, </w:t>
      </w:r>
      <w:hyperlink w:anchor="Par140">
        <w:r>
          <w:rPr>
            <w:color w:val="0000FF"/>
          </w:rPr>
          <w:t>2.2.6</w:t>
        </w:r>
      </w:hyperlink>
      <w:r>
        <w:rPr/>
        <w:t xml:space="preserve">, </w:t>
      </w:r>
      <w:hyperlink w:anchor="Par142">
        <w:r>
          <w:rPr>
            <w:color w:val="0000FF"/>
          </w:rPr>
          <w:t>2.3.1</w:t>
        </w:r>
      </w:hyperlink>
      <w:r>
        <w:rPr/>
        <w:t xml:space="preserve">, </w:t>
      </w:r>
      <w:hyperlink w:anchor="Par158">
        <w:r>
          <w:rPr>
            <w:color w:val="0000FF"/>
          </w:rPr>
          <w:t>2.3.2</w:t>
        </w:r>
      </w:hyperlink>
      <w:r>
        <w:rPr/>
        <w:t xml:space="preserve"> (абзацы первый и третий), </w:t>
      </w:r>
      <w:hyperlink w:anchor="Par159">
        <w:r>
          <w:rPr>
            <w:color w:val="0000FF"/>
          </w:rPr>
          <w:t>2.3.3</w:t>
        </w:r>
      </w:hyperlink>
      <w:r>
        <w:rPr/>
        <w:t xml:space="preserve">, </w:t>
      </w:r>
      <w:hyperlink w:anchor="Par162">
        <w:r>
          <w:rPr>
            <w:color w:val="0000FF"/>
          </w:rPr>
          <w:t>2.4.1</w:t>
        </w:r>
      </w:hyperlink>
      <w:r>
        <w:rPr/>
        <w:t xml:space="preserve">, </w:t>
      </w:r>
      <w:hyperlink w:anchor="Par163">
        <w:r>
          <w:rPr>
            <w:color w:val="0000FF"/>
          </w:rPr>
          <w:t>2.4.2</w:t>
        </w:r>
      </w:hyperlink>
      <w:r>
        <w:rPr/>
        <w:t>, 2.4.3 (</w:t>
      </w:r>
      <w:hyperlink w:anchor="Par164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169">
        <w:r>
          <w:rPr>
            <w:color w:val="0000FF"/>
          </w:rPr>
          <w:t>третий</w:t>
        </w:r>
      </w:hyperlink>
      <w:r>
        <w:rPr/>
        <w:t xml:space="preserve">, </w:t>
      </w:r>
      <w:hyperlink w:anchor="Par170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173">
        <w:r>
          <w:rPr>
            <w:color w:val="0000FF"/>
          </w:rPr>
          <w:t>седьмой</w:t>
        </w:r>
      </w:hyperlink>
      <w:r>
        <w:rPr/>
        <w:t>), 2.4.6 (</w:t>
      </w:r>
      <w:hyperlink w:anchor="Par189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199">
        <w:r>
          <w:rPr>
            <w:color w:val="0000FF"/>
          </w:rPr>
          <w:t>одиннадцатый</w:t>
        </w:r>
      </w:hyperlink>
      <w:r>
        <w:rPr/>
        <w:t xml:space="preserve"> - </w:t>
      </w:r>
      <w:hyperlink w:anchor="Par202">
        <w:r>
          <w:rPr>
            <w:color w:val="0000FF"/>
          </w:rPr>
          <w:t>четырнадцатый</w:t>
        </w:r>
      </w:hyperlink>
      <w:r>
        <w:rPr/>
        <w:t xml:space="preserve">), </w:t>
      </w:r>
      <w:hyperlink w:anchor="Par207">
        <w:r>
          <w:rPr>
            <w:color w:val="0000FF"/>
          </w:rPr>
          <w:t>2.4.7</w:t>
        </w:r>
      </w:hyperlink>
      <w:r>
        <w:rPr/>
        <w:t>, 2.4.8 (</w:t>
      </w:r>
      <w:hyperlink w:anchor="Par208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209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213">
        <w:r>
          <w:rPr>
            <w:color w:val="0000FF"/>
          </w:rPr>
          <w:t>2.4.9</w:t>
        </w:r>
      </w:hyperlink>
      <w:r>
        <w:rPr/>
        <w:t xml:space="preserve">, </w:t>
      </w:r>
      <w:hyperlink w:anchor="Par215">
        <w:r>
          <w:rPr>
            <w:color w:val="0000FF"/>
          </w:rPr>
          <w:t>2.4.10</w:t>
        </w:r>
      </w:hyperlink>
      <w:r>
        <w:rPr/>
        <w:t>, 2.4.11 (</w:t>
      </w:r>
      <w:hyperlink w:anchor="Par216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217">
        <w:r>
          <w:rPr>
            <w:color w:val="0000FF"/>
          </w:rPr>
          <w:t>второй</w:t>
        </w:r>
      </w:hyperlink>
      <w:r>
        <w:rPr/>
        <w:t xml:space="preserve">, </w:t>
      </w:r>
      <w:hyperlink w:anchor="Par220">
        <w:r>
          <w:rPr>
            <w:color w:val="0000FF"/>
          </w:rPr>
          <w:t>пятый</w:t>
        </w:r>
      </w:hyperlink>
      <w:r>
        <w:rPr/>
        <w:t xml:space="preserve">), </w:t>
      </w:r>
      <w:hyperlink w:anchor="Par221">
        <w:r>
          <w:rPr>
            <w:color w:val="0000FF"/>
          </w:rPr>
          <w:t>2.4.12 (абзац первый)</w:t>
        </w:r>
      </w:hyperlink>
      <w:r>
        <w:rPr/>
        <w:t xml:space="preserve">, </w:t>
      </w:r>
      <w:hyperlink w:anchor="Par223">
        <w:r>
          <w:rPr>
            <w:color w:val="0000FF"/>
          </w:rPr>
          <w:t>2.4.13</w:t>
        </w:r>
      </w:hyperlink>
      <w:r>
        <w:rPr/>
        <w:t xml:space="preserve">, </w:t>
      </w:r>
      <w:hyperlink w:anchor="Par224">
        <w:r>
          <w:rPr>
            <w:color w:val="0000FF"/>
          </w:rPr>
          <w:t>2.4.14</w:t>
        </w:r>
      </w:hyperlink>
      <w:r>
        <w:rPr/>
        <w:t xml:space="preserve">, </w:t>
      </w:r>
      <w:hyperlink w:anchor="Par237">
        <w:r>
          <w:rPr>
            <w:color w:val="0000FF"/>
          </w:rPr>
          <w:t>2.5.1</w:t>
        </w:r>
      </w:hyperlink>
      <w:r>
        <w:rPr/>
        <w:t xml:space="preserve">, </w:t>
      </w:r>
      <w:hyperlink w:anchor="Par240">
        <w:r>
          <w:rPr>
            <w:color w:val="0000FF"/>
          </w:rPr>
          <w:t>2.5.3 (абзацы второй</w:t>
        </w:r>
      </w:hyperlink>
      <w:r>
        <w:rPr/>
        <w:t xml:space="preserve"> и третий), 2.5.4, </w:t>
      </w:r>
      <w:hyperlink w:anchor="Par242">
        <w:r>
          <w:rPr>
            <w:color w:val="0000FF"/>
          </w:rPr>
          <w:t>2.6.1</w:t>
        </w:r>
      </w:hyperlink>
      <w:r>
        <w:rPr/>
        <w:t xml:space="preserve">, </w:t>
      </w:r>
      <w:hyperlink w:anchor="Par248">
        <w:r>
          <w:rPr>
            <w:color w:val="0000FF"/>
          </w:rPr>
          <w:t>2.6.5</w:t>
        </w:r>
      </w:hyperlink>
      <w:r>
        <w:rPr/>
        <w:t>, 2.7.1 (</w:t>
      </w:r>
      <w:hyperlink w:anchor="Par253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254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257">
        <w:r>
          <w:rPr>
            <w:color w:val="0000FF"/>
          </w:rPr>
          <w:t>2.7.2</w:t>
        </w:r>
      </w:hyperlink>
      <w:r>
        <w:rPr/>
        <w:t>, 2.7.4 (</w:t>
      </w:r>
      <w:hyperlink w:anchor="Par260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261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266">
        <w:r>
          <w:rPr>
            <w:color w:val="0000FF"/>
          </w:rPr>
          <w:t>2.8.1</w:t>
        </w:r>
      </w:hyperlink>
      <w:r>
        <w:rPr/>
        <w:t>, 2.8.2 (</w:t>
      </w:r>
      <w:hyperlink w:anchor="Par267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268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285">
        <w:r>
          <w:rPr>
            <w:color w:val="0000FF"/>
          </w:rPr>
          <w:t>2.8.5 (абзац первый)</w:t>
        </w:r>
      </w:hyperlink>
      <w:r>
        <w:rPr/>
        <w:t xml:space="preserve">, </w:t>
      </w:r>
      <w:hyperlink w:anchor="Par289">
        <w:r>
          <w:rPr>
            <w:color w:val="0000FF"/>
          </w:rPr>
          <w:t>2.8.7</w:t>
        </w:r>
      </w:hyperlink>
      <w:r>
        <w:rPr/>
        <w:t xml:space="preserve">, </w:t>
      </w:r>
      <w:hyperlink w:anchor="Par290">
        <w:r>
          <w:rPr>
            <w:color w:val="0000FF"/>
          </w:rPr>
          <w:t>2.8.8</w:t>
        </w:r>
      </w:hyperlink>
      <w:r>
        <w:rPr/>
        <w:t>, 2.12.2 - ко всем хозяйствующим субъектам с учетом особенностей, определенных для отдельных видов организаций в соответствии с: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382">
        <w:r>
          <w:rPr>
            <w:color w:val="0000FF"/>
          </w:rPr>
          <w:t>пунктами 3.1.1 (абзац первый)</w:t>
        </w:r>
      </w:hyperlink>
      <w:r>
        <w:rPr/>
        <w:t>, 3.1.2 (</w:t>
      </w:r>
      <w:hyperlink w:anchor="Par408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411">
        <w:r>
          <w:rPr>
            <w:color w:val="0000FF"/>
          </w:rPr>
          <w:t>четвертый</w:t>
        </w:r>
      </w:hyperlink>
      <w:r>
        <w:rPr/>
        <w:t>), 3.1.3 (</w:t>
      </w:r>
      <w:hyperlink w:anchor="Par413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419">
        <w:r>
          <w:rPr>
            <w:color w:val="0000FF"/>
          </w:rPr>
          <w:t>седьмой</w:t>
        </w:r>
      </w:hyperlink>
      <w:r>
        <w:rPr/>
        <w:t xml:space="preserve">, </w:t>
      </w:r>
      <w:hyperlink w:anchor="Par421">
        <w:r>
          <w:rPr>
            <w:color w:val="0000FF"/>
          </w:rPr>
          <w:t>девятый</w:t>
        </w:r>
      </w:hyperlink>
      <w:r>
        <w:rPr/>
        <w:t xml:space="preserve">, </w:t>
      </w:r>
      <w:hyperlink w:anchor="Par422">
        <w:r>
          <w:rPr>
            <w:color w:val="0000FF"/>
          </w:rPr>
          <w:t>десятый</w:t>
        </w:r>
      </w:hyperlink>
      <w:r>
        <w:rPr/>
        <w:t>), 3.1.7 (</w:t>
      </w:r>
      <w:hyperlink w:anchor="Par430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431">
        <w:r>
          <w:rPr>
            <w:color w:val="0000FF"/>
          </w:rPr>
          <w:t>второй</w:t>
        </w:r>
      </w:hyperlink>
      <w:r>
        <w:rPr/>
        <w:t xml:space="preserve">, </w:t>
      </w:r>
      <w:hyperlink w:anchor="Par433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435">
        <w:r>
          <w:rPr>
            <w:color w:val="0000FF"/>
          </w:rPr>
          <w:t>шестой</w:t>
        </w:r>
      </w:hyperlink>
      <w:r>
        <w:rPr/>
        <w:t>), 3.1.11 (</w:t>
      </w:r>
      <w:hyperlink w:anchor="Par440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443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445">
        <w:r>
          <w:rPr>
            <w:color w:val="0000FF"/>
          </w:rPr>
          <w:t>шестой</w:t>
        </w:r>
      </w:hyperlink>
      <w:r>
        <w:rPr/>
        <w:t xml:space="preserve"> - </w:t>
      </w:r>
      <w:hyperlink w:anchor="Par447">
        <w:r>
          <w:rPr>
            <w:color w:val="0000FF"/>
          </w:rPr>
          <w:t>восьмой</w:t>
        </w:r>
      </w:hyperlink>
      <w:r>
        <w:rPr/>
        <w:t>) - в отношении организаций, реализующих образовательные 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пунктами 3.2.1 (</w:t>
      </w:r>
      <w:hyperlink w:anchor="Par451">
        <w:r>
          <w:rPr>
            <w:color w:val="0000FF"/>
          </w:rPr>
          <w:t>абзац первый</w:t>
        </w:r>
      </w:hyperlink>
      <w:r>
        <w:rPr/>
        <w:t xml:space="preserve"> и </w:t>
      </w:r>
      <w:hyperlink w:anchor="Par452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457">
        <w:r>
          <w:rPr>
            <w:color w:val="0000FF"/>
          </w:rPr>
          <w:t>3.2.4</w:t>
        </w:r>
      </w:hyperlink>
      <w:r>
        <w:rPr/>
        <w:t xml:space="preserve">, </w:t>
      </w:r>
      <w:hyperlink w:anchor="Par460">
        <w:r>
          <w:rPr>
            <w:color w:val="0000FF"/>
          </w:rPr>
          <w:t>3.2.7</w:t>
        </w:r>
      </w:hyperlink>
      <w:r>
        <w:rPr/>
        <w:t xml:space="preserve">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размещенным в нежилых помещениях,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пунктами 3.3.1 (</w:t>
      </w:r>
      <w:hyperlink w:anchor="Par466">
        <w:r>
          <w:rPr>
            <w:color w:val="0000FF"/>
          </w:rPr>
          <w:t>абзац первый</w:t>
        </w:r>
      </w:hyperlink>
      <w:r>
        <w:rPr/>
        <w:t xml:space="preserve"> и </w:t>
      </w:r>
      <w:hyperlink w:anchor="Par467">
        <w:r>
          <w:rPr>
            <w:color w:val="0000FF"/>
          </w:rPr>
          <w:t>второй</w:t>
        </w:r>
      </w:hyperlink>
      <w:r>
        <w:rPr/>
        <w:t xml:space="preserve">), </w:t>
      </w:r>
      <w:hyperlink w:anchor="Par472">
        <w:r>
          <w:rPr>
            <w:color w:val="0000FF"/>
          </w:rPr>
          <w:t>3.3.3</w:t>
        </w:r>
      </w:hyperlink>
      <w:r>
        <w:rPr/>
        <w:t xml:space="preserve"> - в отношении детских игровых комнат, размещаемым в торгово-развлекательных и культурно-досуговых центрах, павильонах, аэропортах, железнодорожных вокзалах и иных объектах нежилого назначения,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475">
        <w:r>
          <w:rPr>
            <w:color w:val="0000FF"/>
          </w:rPr>
          <w:t>пунктами 3.4.1 (абзац первый)</w:t>
        </w:r>
      </w:hyperlink>
      <w:r>
        <w:rPr/>
        <w:t xml:space="preserve">, </w:t>
      </w:r>
      <w:hyperlink w:anchor="Par478">
        <w:r>
          <w:rPr>
            <w:color w:val="0000FF"/>
          </w:rPr>
          <w:t>3.4.2</w:t>
        </w:r>
      </w:hyperlink>
      <w:r>
        <w:rPr/>
        <w:t>, 3.4.3 (</w:t>
      </w:r>
      <w:hyperlink w:anchor="Par479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481">
        <w:r>
          <w:rPr>
            <w:color w:val="0000FF"/>
          </w:rPr>
          <w:t>третий</w:t>
        </w:r>
      </w:hyperlink>
      <w:r>
        <w:rPr/>
        <w:t xml:space="preserve">), </w:t>
      </w:r>
      <w:hyperlink w:anchor="Par482">
        <w:r>
          <w:rPr>
            <w:color w:val="0000FF"/>
          </w:rPr>
          <w:t>3.4.4</w:t>
        </w:r>
      </w:hyperlink>
      <w:r>
        <w:rPr/>
        <w:t xml:space="preserve">, </w:t>
      </w:r>
      <w:hyperlink w:anchor="Par483">
        <w:r>
          <w:rPr>
            <w:color w:val="0000FF"/>
          </w:rPr>
          <w:t>3.4.5</w:t>
        </w:r>
      </w:hyperlink>
      <w:r>
        <w:rPr/>
        <w:t xml:space="preserve">, </w:t>
      </w:r>
      <w:hyperlink w:anchor="Par489">
        <w:r>
          <w:rPr>
            <w:color w:val="0000FF"/>
          </w:rPr>
          <w:t>3.4.9</w:t>
        </w:r>
      </w:hyperlink>
      <w:r>
        <w:rPr/>
        <w:t xml:space="preserve"> - </w:t>
      </w:r>
      <w:hyperlink w:anchor="Par496">
        <w:r>
          <w:rPr>
            <w:color w:val="0000FF"/>
          </w:rPr>
          <w:t>3.4.13</w:t>
        </w:r>
      </w:hyperlink>
      <w:r>
        <w:rPr/>
        <w:t>, 3.4.14 (</w:t>
      </w:r>
      <w:hyperlink w:anchor="Par497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500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502">
        <w:r>
          <w:rPr>
            <w:color w:val="0000FF"/>
          </w:rPr>
          <w:t>шестой</w:t>
        </w:r>
      </w:hyperlink>
      <w:r>
        <w:rPr/>
        <w:t>) - в отношении организаций, реализующих образовательные программы начального общего, основного общего и среднего общего образования,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570">
        <w:r>
          <w:rPr>
            <w:color w:val="0000FF"/>
          </w:rPr>
          <w:t>пунктами 3.6.1</w:t>
        </w:r>
      </w:hyperlink>
      <w:r>
        <w:rPr/>
        <w:t>, 3.6.3 (</w:t>
      </w:r>
      <w:hyperlink w:anchor="Par580">
        <w:r>
          <w:rPr>
            <w:color w:val="0000FF"/>
          </w:rPr>
          <w:t>абзацы первый</w:t>
        </w:r>
      </w:hyperlink>
      <w:r>
        <w:rPr/>
        <w:t xml:space="preserve"> - </w:t>
      </w:r>
      <w:hyperlink w:anchor="Par583">
        <w:r>
          <w:rPr>
            <w:color w:val="0000FF"/>
          </w:rPr>
          <w:t>четвертый</w:t>
        </w:r>
      </w:hyperlink>
      <w:r>
        <w:rPr/>
        <w:t>) - в отношении организаций дополнительного образования и физкультурно-спортивных организаций,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589">
        <w:r>
          <w:rPr>
            <w:color w:val="0000FF"/>
          </w:rPr>
          <w:t>пунктами 3.7.2</w:t>
        </w:r>
      </w:hyperlink>
      <w:r>
        <w:rPr/>
        <w:t xml:space="preserve">, </w:t>
      </w:r>
      <w:hyperlink w:anchor="Par594">
        <w:r>
          <w:rPr>
            <w:color w:val="0000FF"/>
          </w:rPr>
          <w:t>3.7.4</w:t>
        </w:r>
      </w:hyperlink>
      <w:r>
        <w:rPr/>
        <w:t xml:space="preserve">, </w:t>
      </w:r>
      <w:hyperlink w:anchor="Par595">
        <w:r>
          <w:rPr>
            <w:color w:val="0000FF"/>
          </w:rPr>
          <w:t>3.7.5</w:t>
        </w:r>
      </w:hyperlink>
      <w:r>
        <w:rPr/>
        <w:t xml:space="preserve"> - в отношении организаций для детей-сирот и детей, оставшихся без попечения родителей;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597">
        <w:r>
          <w:rPr>
            <w:color w:val="0000FF"/>
          </w:rPr>
          <w:t>пунктами 3.8.1</w:t>
        </w:r>
      </w:hyperlink>
      <w:r>
        <w:rPr/>
        <w:t xml:space="preserve"> - 3.8.4 - в отношении организаций социального обслуживания семьи и детей,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610">
        <w:r>
          <w:rPr>
            <w:color w:val="0000FF"/>
          </w:rPr>
          <w:t>пунктами 3.9.1</w:t>
        </w:r>
      </w:hyperlink>
      <w:r>
        <w:rPr/>
        <w:t>, 3.9.2 (</w:t>
      </w:r>
      <w:hyperlink w:anchor="Par612">
        <w:r>
          <w:rPr>
            <w:color w:val="0000FF"/>
          </w:rPr>
          <w:t>абзацы первый</w:t>
        </w:r>
      </w:hyperlink>
      <w:r>
        <w:rPr/>
        <w:t xml:space="preserve"> и </w:t>
      </w:r>
      <w:hyperlink w:anchor="Par613">
        <w:r>
          <w:rPr>
            <w:color w:val="0000FF"/>
          </w:rPr>
          <w:t>второй</w:t>
        </w:r>
      </w:hyperlink>
      <w:r>
        <w:rPr/>
        <w:t>), 3.9.3 (</w:t>
      </w:r>
      <w:hyperlink w:anchor="Par615">
        <w:r>
          <w:rPr>
            <w:color w:val="0000FF"/>
          </w:rPr>
          <w:t>абзацы первый</w:t>
        </w:r>
      </w:hyperlink>
      <w:r>
        <w:rPr/>
        <w:t xml:space="preserve">, </w:t>
      </w:r>
      <w:hyperlink w:anchor="Par616">
        <w:r>
          <w:rPr>
            <w:color w:val="0000FF"/>
          </w:rPr>
          <w:t>второй</w:t>
        </w:r>
      </w:hyperlink>
      <w:r>
        <w:rPr/>
        <w:t xml:space="preserve">, </w:t>
      </w:r>
      <w:hyperlink w:anchor="Par618">
        <w:r>
          <w:rPr>
            <w:color w:val="0000FF"/>
          </w:rPr>
          <w:t>четвертый</w:t>
        </w:r>
      </w:hyperlink>
      <w:r>
        <w:rPr/>
        <w:t xml:space="preserve">, </w:t>
      </w:r>
      <w:hyperlink w:anchor="Par620">
        <w:r>
          <w:rPr>
            <w:color w:val="0000FF"/>
          </w:rPr>
          <w:t>шестой</w:t>
        </w:r>
      </w:hyperlink>
      <w:r>
        <w:rPr/>
        <w:t xml:space="preserve">), </w:t>
      </w:r>
      <w:hyperlink w:anchor="Par622">
        <w:r>
          <w:rPr>
            <w:color w:val="0000FF"/>
          </w:rPr>
          <w:t>3.9.4</w:t>
        </w:r>
      </w:hyperlink>
      <w:r>
        <w:rPr/>
        <w:t xml:space="preserve"> - в отношении профессиональных образовательных организаций,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630">
        <w:r>
          <w:rPr>
            <w:color w:val="0000FF"/>
          </w:rPr>
          <w:t>пунктами 3.10.1</w:t>
        </w:r>
      </w:hyperlink>
      <w:r>
        <w:rPr/>
        <w:t xml:space="preserve">, </w:t>
      </w:r>
      <w:hyperlink w:anchor="Par632">
        <w:r>
          <w:rPr>
            <w:color w:val="0000FF"/>
          </w:rPr>
          <w:t>3.10.2</w:t>
        </w:r>
      </w:hyperlink>
      <w:r>
        <w:rPr/>
        <w:t xml:space="preserve"> - в отношении образовательных организаций высшего образования,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645">
        <w:r>
          <w:rPr>
            <w:color w:val="0000FF"/>
          </w:rPr>
          <w:t>пунктами 3.11.3 (абзац первый)</w:t>
        </w:r>
      </w:hyperlink>
      <w:r>
        <w:rPr/>
        <w:t xml:space="preserve">, </w:t>
      </w:r>
      <w:hyperlink w:anchor="Par648">
        <w:r>
          <w:rPr>
            <w:color w:val="0000FF"/>
          </w:rPr>
          <w:t>3.11.4</w:t>
        </w:r>
      </w:hyperlink>
      <w:r>
        <w:rPr/>
        <w:t xml:space="preserve">, </w:t>
      </w:r>
      <w:hyperlink w:anchor="Par652">
        <w:r>
          <w:rPr>
            <w:color w:val="0000FF"/>
          </w:rPr>
          <w:t>3.11.5</w:t>
        </w:r>
      </w:hyperlink>
      <w:r>
        <w:rPr/>
        <w:t xml:space="preserve">, </w:t>
      </w:r>
      <w:hyperlink w:anchor="Par655">
        <w:r>
          <w:rPr>
            <w:color w:val="0000FF"/>
          </w:rPr>
          <w:t>3.11.6</w:t>
        </w:r>
      </w:hyperlink>
      <w:r>
        <w:rPr/>
        <w:t xml:space="preserve"> - в отношении загородных стационарных детских оздоровительных лагерей с круглосуточным пребыванием,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w:anchor="Par720">
        <w:r>
          <w:rPr>
            <w:color w:val="0000FF"/>
          </w:rPr>
          <w:t>пунктом 3.15</w:t>
        </w:r>
      </w:hyperlink>
      <w:r>
        <w:rPr/>
        <w:t xml:space="preserve">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1.4. Функционирование хозяйствующих субъектов, осуществляющих образовательную деятельность, подлежащую лицензированию, а также 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законодательству,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&lt;1&gt;.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&lt;1&gt; </w:t>
      </w:r>
      <w:hyperlink r:id="rId38">
        <w:r>
          <w:rPr>
            <w:color w:val="0000FF"/>
          </w:rPr>
          <w:t>Пункт 2 статьи 40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2003, N 2, ст. 167; 2007, N 46, ст. 5554; 2009, N 1, ст. 17; 2011, N 30 (ч. 1), ст. 4596; 2015, N 1 (часть I), ст. 11) и пункт 2 статьи 12 Федеральный закон от 24.07.1998 N 124-ФЗ "Об основных гарантиях прав ребенка в Российской Федерации" (Собрание законодательства Российской Федерации, 1998, N 31, ст. 3802; 2019, N 42 (часть II), ст. 5801);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1.5. 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&lt;2&gt;,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 &lt;3&gt; и иметь личную медицинскую книжку &lt;4&gt;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&lt;2&gt; </w:t>
      </w:r>
      <w:hyperlink r:id="rId39">
        <w:r>
          <w:rPr>
            <w:color w:val="0000FF"/>
          </w:rPr>
          <w:t>Приказ</w:t>
        </w:r>
      </w:hyperlink>
      <w:r>
        <w:rPr/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 России 21.10.2011 N 22111) (зарегистрирован Минюстом России 21.10.2011, регистрационный N 22111), с изменениями, внесенными приказами Минздрава России от 15.05.2013 N 296н (зарегистрирован Минюстом России 03.07.2013, регистрационный N 28970), от 05.12.2014 N 801н (зарегистрирован Минюстом России 03.02.2015, регистрационный N 35848), от 13.12.2019 N 1032н (зарегистрирован Минюстом России 24.12.2019, регистрационный N 56976), приказами Минтруда России и Минздрава России от 06.02.2018 N 62н/49н (зарегистрирован Минюстом России 02.03.2018, регистрационный N 50237) и от 03.04.2020 N 187н/268н (зарегистрирован Минюстом России 12.05.2020, регистрационный N 58320), приказом Минздрава России от 18.05.2020 N 455н (зарегистрирован Минюстом России 22.05.2020 N 58430);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&lt;3&gt; </w:t>
      </w:r>
      <w:hyperlink r:id="rId40">
        <w:r>
          <w:rPr>
            <w:color w:val="0000FF"/>
          </w:rPr>
          <w:t>Приказ</w:t>
        </w:r>
      </w:hyperlink>
      <w:r>
        <w:rPr/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(зарегистрировано Минюстом России 25.04.2014 N 32115) (зарегистрирован Минюстом России 25.04.2014, регистрационный N 32115), с изменениями, внесенными приказами Минздрава России от 16.06.2016 N 370н (зарегистрирован Минюстом России 04.07.2016, регистрационный N 42728), от 13.04.2017 N 175н (зарегистрирован Минюстом России 17.05.2017, регистрационный N 46745), от 19.02.2019 N 69н (зарегистрирован Минюстом России 19.03.2019, регистрационный N 54089), от 24.04.2019 N 243н (зарегистрирован Минюстом России 15.07.2019, регистрационный N 55249);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&lt;4&gt; </w:t>
      </w:r>
      <w:hyperlink r:id="rId41">
        <w:r>
          <w:rPr>
            <w:color w:val="0000FF"/>
          </w:rPr>
          <w:t>Статья 34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3607; 2011, N 1, ст. 6; N 30 (ч. 1), ст. 4590; 2013, N 48, ст. 6165).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1.6.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1.7. Проведение всех видов ремонтных работ в присутствии детей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1.8. На объектах должен осуществляться производственный контроль за соблюдением санитарных правил и гигиенических нормативов.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" w:name="Par109"/>
      <w:bookmarkEnd w:id="2"/>
      <w:r>
        <w:rPr/>
        <w:t>1.9. При нахождении детей и молодежи на объектах более 4 часов обеспечивается возможность организации горячего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1.10. 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КонсультантПлюс: примечание.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firstLine="540"/>
        <w:jc w:val="both"/>
        <w:rPr/>
      </w:pPr>
      <w:r>
        <w:rPr/>
        <w:t>1.12. Количественные значения факторов, характеризующих условия воспитания, обучения и оздоровления детей и молодежи, должны соответствовать гигиеническим нормативам.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II. Общие требования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2.1. При размещении объектов хозяйствующим субъектом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" w:name="Par119"/>
      <w:bookmarkEnd w:id="3"/>
      <w:r>
        <w:rPr/>
        <w:t>2.1.1. Через собственную территорию не должны проходить магистральные нефтепроводы, газопроводы и нефтепродуктопроводы, сети инженерно-технического обеспечения, предназначенные для обеспечения населенных пунктов, а также изолированные (транзитные) тепловые сети, которыми непосредственно не осуществляется теплоснабжение объектов.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" w:name="Par120"/>
      <w:bookmarkEnd w:id="4"/>
      <w:r>
        <w:rPr/>
        <w:t>2.1.2.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" w:name="Par121"/>
      <w:bookmarkEnd w:id="5"/>
      <w:r>
        <w:rPr/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расстояниях,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километров в одну сторону.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" w:name="Par123"/>
      <w:bookmarkEnd w:id="6"/>
      <w:r>
        <w:rPr/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" w:name="Par124"/>
      <w:bookmarkEnd w:id="7"/>
      <w:r>
        <w:rPr/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" w:name="Par125"/>
      <w:bookmarkEnd w:id="8"/>
      <w:r>
        <w:rPr/>
        <w:t>2.1.3. В районах Крайнего Севера и приравненных к ним местностях обеспечиваются ветрозащита, а также снегозащита собственной территории.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 На территории хозяйствующего субъекта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" w:name="Par127"/>
      <w:bookmarkEnd w:id="9"/>
      <w:r>
        <w:rPr/>
        <w:t>2.2.1.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" w:name="Par130"/>
      <w:bookmarkEnd w:id="10"/>
      <w:r>
        <w:rPr/>
        <w:t>На собственной территории не должно быть плодоносящих ядовитыми плодами деревьев и кустарников.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" w:name="Par131"/>
      <w:bookmarkEnd w:id="11"/>
      <w:r>
        <w:rPr/>
        <w:t>2.2.2.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Спортивные занятия и мероприятия на сырых площадках и (или) на площадках, имеющих дефекты, не проводятся.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2" w:name="Par134"/>
      <w:bookmarkEnd w:id="12"/>
      <w:r>
        <w:rPr/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3" w:name="Par135"/>
      <w:bookmarkEnd w:id="13"/>
      <w:r>
        <w:rPr/>
        <w:t>2.2.3.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площадке устанавливаются контейнеры (мусоросборники) с закрывающимися крышками.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4" w:name="Par137"/>
      <w:bookmarkEnd w:id="14"/>
      <w:r>
        <w:rPr/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2.2.4. Покрытие проездов, подходов и дорожек на собственной территории не должно иметь дефектов.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5" w:name="Par139"/>
      <w:bookmarkEnd w:id="15"/>
      <w:r>
        <w:rPr/>
        <w:t>2.2.5. Расположение на собственной территории построек и сооружений, функционально не связанных с деятельностью хозяйствующего субъекта,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6" w:name="Par140"/>
      <w:bookmarkEnd w:id="16"/>
      <w:r>
        <w:rPr/>
        <w:t xml:space="preserve">2.2.6. На собственной территории должно быть обеспечено отсутствие грызунов и насекомых, в том числе клещей, способами, предусмотренными соответствующими санитарными </w:t>
      </w:r>
      <w:hyperlink r:id="rId42">
        <w:r>
          <w:rPr>
            <w:color w:val="0000FF"/>
          </w:rPr>
          <w:t>правилами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7" w:name="Par142"/>
      <w:bookmarkEnd w:id="17"/>
      <w:r>
        <w:rPr/>
        <w:t>2.3.1.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условиях: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среднемесячной температуре воздуха в январе от -5 °C до +2 °C, средней скорости ветра за три зимних месяца 5 и более м/с, среднемесячной температуре воздуха в июле от +21 °C до +25 °C, среднемесячной относительной влажности воздуха в июле - более 75%,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среднемесячной температуре воздуха в январе от -15 °C до +6 °C, среднемесячной температуре воздуха в июле от +22 °C и выше, среднемесячной относительной влажности воздуха в июле - более 50%.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Организации, реализующие программы начального общего, основного общего и среднего общего образования размещаются на собственной территории в отдельно стоящих зданиях.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Организации, реализующие программы начального общего, основного общего и среднего общего образования,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подвальных этажах не допускается размещение помещений для детей и молодежи,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основного общего и среднего общего образования, размещаются не выше третьего этажа здания, если иное не определено Правилами.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пребыванием,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комнаты), или комнаты для осуществления присмотра и ухода (игровые комнаты и (или) гостиные), душевые, умывальные, туалеты для проживающих, помещения для стирки, сушки и глажки белья, комнаты для хранения постельного белья, комнаты и туалеты для персонала.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установленных законодательством &lt;5&gt;).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&lt;5&gt; </w:t>
      </w:r>
      <w:hyperlink r:id="rId43">
        <w:r>
          <w:rPr>
            <w:color w:val="0000FF"/>
          </w:rPr>
          <w:t>Часть 3 статьи 41</w:t>
        </w:r>
      </w:hyperlink>
      <w:r>
        <w:rPr/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 (ч. 1), ст. 7598; 2016, N 27 (часть II), ст. 4246).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bookmarkStart w:id="18" w:name="Par158"/>
      <w:bookmarkEnd w:id="18"/>
      <w:r>
        <w:rPr/>
        <w:t>2.3.2.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объектам хозяйствующим субъектом должны проводиться мероприятия по созданию доступной среды для инвалидов.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9" w:name="Par159"/>
      <w:bookmarkEnd w:id="19"/>
      <w:r>
        <w:rPr/>
        <w:t>2.3.3.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 В объектах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0" w:name="Par162"/>
      <w:bookmarkEnd w:id="20"/>
      <w:r>
        <w:rPr/>
        <w:t xml:space="preserve">2.4.1. Входы в здания оборудуются тамбурами или воздушно-тепловыми завесами, если иное не определено </w:t>
      </w:r>
      <w:hyperlink w:anchor="Par378">
        <w:r>
          <w:rPr>
            <w:color w:val="0000FF"/>
          </w:rPr>
          <w:t>главой III</w:t>
        </w:r>
      </w:hyperlink>
      <w:r>
        <w:rPr/>
        <w:t xml:space="preserve">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1" w:name="Par163"/>
      <w:bookmarkEnd w:id="21"/>
      <w:r>
        <w:rPr/>
        <w:t xml:space="preserve">2.4.2. Количество обучающихся, воспитанников и отдыхающих не должно превышать установленное </w:t>
      </w:r>
      <w:hyperlink w:anchor="Par382">
        <w:r>
          <w:rPr>
            <w:color w:val="0000FF"/>
          </w:rPr>
          <w:t>пунктами 3.1.1</w:t>
        </w:r>
      </w:hyperlink>
      <w:r>
        <w:rPr/>
        <w:t xml:space="preserve">, </w:t>
      </w:r>
      <w:hyperlink w:anchor="Par497">
        <w:r>
          <w:rPr>
            <w:color w:val="0000FF"/>
          </w:rPr>
          <w:t>3.4.14</w:t>
        </w:r>
      </w:hyperlink>
      <w:r>
        <w:rPr/>
        <w:t xml:space="preserve"> Правил и гигиенические нормативы.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2" w:name="Par164"/>
      <w:bookmarkEnd w:id="22"/>
      <w:r>
        <w:rPr/>
        <w:t>2.4.3. Обучающиеся, воспитанники и 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 &lt;6&gt;.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&lt;6&gt; </w:t>
      </w:r>
      <w:hyperlink r:id="rId44">
        <w:r>
          <w:rPr>
            <w:color w:val="0000FF"/>
          </w:rPr>
          <w:t>ТР ТС 025/2012</w:t>
        </w:r>
      </w:hyperlink>
      <w:r>
        <w:rPr/>
        <w:t xml:space="preserve"> "Технический регламент Таможенного союза. О безопасности мебельной продукции", утвержденный решением Совета Евразийской экономической комиссии от 15.06.2012 N 32 (Официальный сайт Комиссии Таможенного союза http://www.tsouz.ru/, 18.06.2012) (далее - ТР ТС 025/2012).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высшего образования). Цветовая маркировка наносится на боковую наружную поверхность стола и стула.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3" w:name="Par169"/>
      <w:bookmarkEnd w:id="23"/>
      <w:r>
        <w:rPr/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4" w:name="Par170"/>
      <w:bookmarkEnd w:id="24"/>
      <w:r>
        <w:rPr/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Детей рассаживают с учетом роста, наличия заболеваний органов дыхания, слуха и зрения.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расположении парт (столов), используемых при организации обучения и воспитания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5" w:name="Par173"/>
      <w:bookmarkEnd w:id="25"/>
      <w:r>
        <w:rPr/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</w:t>
      </w:r>
      <w:hyperlink r:id="rId45">
        <w:r>
          <w:rPr>
            <w:color w:val="0000FF"/>
          </w:rPr>
          <w:t>ТР ТС 025/2012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Покрытие столов и стульев должно не иметь дефектов и повреждений и быть выполненным из материалов, устойчивых к воздействию влаги,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Мебель для лиц с ограниченными возможностями здоровья и инвалидов должна быть приспособлена к особенностям их психофизического развития, индивидуальным возможностям и состоянию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2.4.4. Помещения, предназначенные для организации учебного процесса, оборудуются классными досками.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оборудовании учебных помещений интерактивной доской (интерактивной панелью) нужно учитывать ее размер и размещение, которые должны обеспечивать обучающимся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Интерактивная доска должна быть расположена по центру фронтальной стены классного помещения.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маркерной доски цвет маркера должен быть контрастного цвета по отношению к цвету доски.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2.4.5.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Использование ЭСО должно осуществляться при условии их соответствия Единым санитарно-эпидемиологическим и гигиеническим </w:t>
      </w:r>
      <w:hyperlink r:id="rId46">
        <w:r>
          <w:rPr>
            <w:color w:val="0000FF"/>
          </w:rPr>
          <w:t>требованиям</w:t>
        </w:r>
      </w:hyperlink>
      <w:r>
        <w:rPr/>
        <w:t xml:space="preserve"> к продукции (товарам), подлежащей санитарно-эпидемиологическому надзору (контролю) &lt;7&gt;.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&lt;7&gt; Утверждены </w:t>
      </w:r>
      <w:hyperlink r:id="rId47">
        <w:r>
          <w:rPr>
            <w:color w:val="0000FF"/>
          </w:rPr>
          <w:t>решением</w:t>
        </w:r>
      </w:hyperlink>
      <w:r>
        <w:rPr/>
        <w:t xml:space="preserve"> Комиссии Таможенного союза от 28.05.2010 N 299 "О применении санитарных мер в таможенном союзе" (Официальный сайт Комиссии Таможенного союза http://www.tsouz.ru/, 28.06.2010) (далее - Единые санитарные требования).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6" w:name="Par189"/>
      <w:bookmarkEnd w:id="26"/>
      <w:r>
        <w:rPr/>
        <w:t>2.4.6. При организации питания хозяйствующими субъектами должны соблюдаться следующие требования.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7" w:name="Par190"/>
      <w:bookmarkEnd w:id="27"/>
      <w:r>
        <w:rPr/>
        <w:t>2.4.6.1. В составе комплекса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мясо-рыбный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доготовив 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8" w:name="Par192"/>
      <w:bookmarkEnd w:id="28"/>
      <w:r>
        <w:rPr/>
        <w:t>В составе комплекса помещений буфетов-раздаточных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2.4.6.2. Помещения для приготовления и приема пищи, хранения пищевой продукции оборудуются технологическим,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Посуда для приготовления блюд должна быть выполнена из нержавеющей стали. Инвентарь, используемый для раздачи и порционирования блюд, должен иметь мерную метку объема в литрах и (или) миллилитрах.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9" w:name="Par198"/>
      <w:bookmarkEnd w:id="29"/>
      <w:r>
        <w:rPr/>
        <w:t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контрольными термометрами.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0" w:name="Par199"/>
      <w:bookmarkEnd w:id="30"/>
      <w:r>
        <w:rPr/>
        <w:t>Технологическое и холодильное оборудование должно быть исправным и способным поддерживать температурный режим.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съемной доски, выполненной из дерева твердых лиственных пород.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1" w:name="Par202"/>
      <w:bookmarkEnd w:id="31"/>
      <w:r>
        <w:rPr>
          <w:highlight w:val="green"/>
        </w:rP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обеззараживания воздуха в холодном цехе используется бактерицидная установка для обеззараживания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2.4.6.3. Обеденные залы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2" w:name="Par207"/>
      <w:bookmarkEnd w:id="32"/>
      <w:r>
        <w:rPr/>
        <w:t>2.4.7. Спальные комнаты для проживания обеспечиваются кроватями, тумбочками и стульями (табуреты) по количеству проживающих,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3" w:name="Par208"/>
      <w:bookmarkEnd w:id="33"/>
      <w:r>
        <w:rPr/>
        <w:t>2.4.8.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4" w:name="Par209"/>
      <w:bookmarkEnd w:id="34"/>
      <w:r>
        <w:rPr/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Каждое спальное место обеспечивается комплектом постельных принадлежностей (матрацем с наматрасником,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комплектов постельного белья, наматрасников и полотенец (для лица и для ног, а также банного) должно быть не менее 2 комплектов на одного человека.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организаций, осуществляющих образовательную деятельность по образовательным программам среднего профессионального, высшего образования, допускается использование личных постельных принадлежностей и спальных мест.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5" w:name="Par213"/>
      <w:bookmarkEnd w:id="35"/>
      <w:r>
        <w:rPr/>
        <w:t>2.4.9. Мебель должна иметь покрытие, допускающее проведение влажной уборки с применением моющих и дезинфекционных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6" w:name="Par215"/>
      <w:bookmarkEnd w:id="36"/>
      <w:r>
        <w:rPr/>
        <w:t>2.4.10. 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7" w:name="Par216"/>
      <w:bookmarkEnd w:id="37"/>
      <w:r>
        <w:rPr/>
        <w:t>2.4.11. На каждом этаже объекта размещаются туалеты для детей и молодежи. На каждом этаже объектов организаций, реализующих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 Площадь туалетов для детей до 3 лет должна составлять не менее 12 м</w:t>
      </w:r>
      <w:r>
        <w:rPr>
          <w:vertAlign w:val="superscript"/>
        </w:rPr>
        <w:t>2</w:t>
      </w:r>
      <w:r>
        <w:rPr/>
        <w:t>, от 3 до 7 лет - 16,0 м</w:t>
      </w:r>
      <w:r>
        <w:rPr>
          <w:vertAlign w:val="superscript"/>
        </w:rPr>
        <w:t>2</w:t>
      </w:r>
      <w:r>
        <w:rPr/>
        <w:t>; для детей старше 7 лет - не менее 0,1 м</w:t>
      </w:r>
      <w:r>
        <w:rPr>
          <w:vertAlign w:val="superscript"/>
        </w:rPr>
        <w:t>2</w:t>
      </w:r>
      <w:r>
        <w:rPr/>
        <w:t xml:space="preserve"> на ребенка.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8" w:name="Par217"/>
      <w:bookmarkEnd w:id="38"/>
      <w:r>
        <w:rPr/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электро- или бумажными полотенцами, ведрами для сбора мусора.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Санитарно-техническое оборудование должно гигиеническим нормативам, быть исправным и без дефектов.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9" w:name="Par220"/>
      <w:bookmarkEnd w:id="39"/>
      <w:r>
        <w:rPr/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0" w:name="Par221"/>
      <w:bookmarkEnd w:id="40"/>
      <w:r>
        <w:rPr/>
        <w:t>2.4.12. 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Инструкции по приготовлению дезинфицирующих растворов должны размещаться в месте их приготовления.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1" w:name="Par223"/>
      <w:bookmarkEnd w:id="41"/>
      <w:r>
        <w:rPr/>
        <w:t>2.4.13.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2" w:name="Par224"/>
      <w:bookmarkEnd w:id="42"/>
      <w:r>
        <w:rPr/>
        <w:t>2.4.14.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кладовые для хранения хозяйственного инвентаря, бельевые (комнаты для раздельного хранения чистого и грязного белья), помещения для сушки одежды и обуви, помещения (камеры) для хранения личных вещей и иные подсобные помещения;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 &lt;8&gt;)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&lt;8&gt; </w:t>
      </w:r>
      <w:hyperlink r:id="rId48">
        <w:r>
          <w:rPr>
            <w:color w:val="0000FF"/>
          </w:rPr>
          <w:t>Часть 3 статьи 41</w:t>
        </w:r>
      </w:hyperlink>
      <w:r>
        <w:rPr/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53, ст. 7598; 2016, N 27, ст. 4246).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(места) для стирки белья и гладильные оборудуются отдельно.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 При отделке объектов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3" w:name="Par237"/>
      <w:bookmarkEnd w:id="43"/>
      <w:r>
        <w:rPr/>
        <w:t>2.5.1.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2.5.2. Полы не должны иметь дефектов и повреждений и должны быть выполненными из материалов, допускающих влажную обработку и дезинфекцию.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2.5.3. Стены и потолки помещений не должны иметь дефектов и повреждений, следов 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4" w:name="Par240"/>
      <w:bookmarkEnd w:id="44"/>
      <w:r>
        <w:rPr/>
        <w:t>В помещениях с повышенной влажностью воздуха потолки должны быть влагостойкими.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 При обеспечении водоснабжения и водоотведения хозяйствующими субъектами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5" w:name="Par242"/>
      <w:bookmarkEnd w:id="45"/>
      <w:r>
        <w:rPr/>
        <w:t xml:space="preserve">2.6.1. Здания хозяйствующих субъектов оборудуются системами холодного и горячего водоснабжения, водоотведения в соответствии с </w:t>
      </w:r>
      <w:hyperlink r:id="rId49">
        <w:r>
          <w:rPr>
            <w:color w:val="0000FF"/>
          </w:rPr>
          <w:t>требованиями</w:t>
        </w:r>
      </w:hyperlink>
      <w:r>
        <w:rPr/>
        <w:t xml:space="preserve"> к общественным зданиям и 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помещениях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отсутствии горячего централизованного водоснабжения в помещениях хозяйствующего субъекта устанавливаются водонагревающие устройства.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2.6.2. Вода, используемая в хозяйственно-питьевых и бытовых целях, должна соответствовать санитарно-эпидемиологическим </w:t>
      </w:r>
      <w:hyperlink r:id="rId50">
        <w:r>
          <w:rPr>
            <w:color w:val="0000FF"/>
          </w:rPr>
          <w:t>требованиям</w:t>
        </w:r>
      </w:hyperlink>
      <w:r>
        <w:rPr/>
        <w:t xml:space="preserve"> к питьевой воде.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2.6.3. Горячая и холодная вода должна подаваться через смесители.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2.6.4. Не допускается использование воды из системы отопления для технологических, а также хозяйственно-бытовых целей.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6" w:name="Par248"/>
      <w:bookmarkEnd w:id="46"/>
      <w:r>
        <w:rPr/>
        <w:t>2.6.5. Холодной и горячей водой обеспечиваются производственные помещения пищеблока, помещения,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2.6.6.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воды,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бутилированной воды хозяйствующий субъект должен быть обеспечен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2.7. Микроклимат, отопление и вентиляция в объектах должны соответствовать следующим требованиям: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7" w:name="Par253"/>
      <w:bookmarkEnd w:id="47"/>
      <w:r>
        <w:rPr/>
        <w:t>2.7.1.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 согласно законодательству о техническом регулировании в сфере безопасности зданий и сооружений.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8" w:name="Par254"/>
      <w:bookmarkEnd w:id="48"/>
      <w:r>
        <w:rPr/>
        <w:t xml:space="preserve">В помещениях обеспечиваются параметры микроклимата, воздухообмена, определенные </w:t>
      </w:r>
      <w:hyperlink r:id="rId51">
        <w:r>
          <w:rPr>
            <w:color w:val="0000FF"/>
          </w:rPr>
          <w:t>требованиями</w:t>
        </w:r>
      </w:hyperlink>
      <w:r>
        <w:rPr/>
        <w:t xml:space="preserve"> гигиенических нормативов.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использование переносных отопительных приборов с инфракрасным излучением.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9" w:name="Par257"/>
      <w:bookmarkEnd w:id="49"/>
      <w:r>
        <w:rPr/>
        <w:t>2.7.2.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Проветривание в присутствии детей не проводится.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2.7.3. Контроль температуры воздуха во всех помещениях, предназначенных для пребывания детей и молодежи, осуществляется Организацией с помощью термометров.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0" w:name="Par260"/>
      <w:bookmarkEnd w:id="50"/>
      <w:r>
        <w:rPr/>
        <w:t>2.7.4. Помещения, где установлено оборудование, являющееся источником выделения пыли, химических веществ, избытков тепла и влаги, дополнительно обеспечиваются местной системой вытяжной вентиляции.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1" w:name="Par261"/>
      <w:bookmarkEnd w:id="51"/>
      <w:r>
        <w:rPr/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(или) естественным побуждением.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2.7.5. Ограждающие устройства отопительных приборов должны быть выполнены из материалов, безвредных для здоровья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Ограждения из древесно-стружечных плит к использованию не допускаются.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2.8. Естественное и искусственное освещение в объектах должны соответствовать следующим требованиям: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2" w:name="Par266"/>
      <w:bookmarkEnd w:id="52"/>
      <w:r>
        <w:rPr/>
        <w:t xml:space="preserve">2.8.1. Уровни естественного и искусственного освещения в помещениях хозяйствующих субъектов должны соответствовать гигиеническим </w:t>
      </w:r>
      <w:hyperlink r:id="rId52">
        <w:r>
          <w:rPr>
            <w:color w:val="0000FF"/>
          </w:rPr>
          <w:t>нормативам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3" w:name="Par267"/>
      <w:bookmarkEnd w:id="53"/>
      <w:r>
        <w:rPr/>
        <w:t>2.8.2.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стены, противоположной светонесущей, высота которого должна быть не менее 2,2 м от пола.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4" w:name="Par268"/>
      <w:bookmarkEnd w:id="54"/>
      <w:r>
        <w:rPr/>
        <w:t>Допускается эксплуатация без естественного освещения следующих помещений: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помещений для спортивных снарядов (далее - снарядные),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умывальных, душевых, туалетов при гимнастическом (или спортивном) зале,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душевых и туалетов для персонала,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кладовых и складских помещений, радиоузлов,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кино-, фотолабораторий,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кинозалов,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книгохранилищ,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бойлерных, насосных водопровода и канализации,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камер вентиляционных,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камер кондиционирования воздуха,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узлов управления и других помещений для установки и управления инженерным и технологическим оборудованием зданий,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помещений для хранения и обработки уборочного инвентаря, помещений для хранения и разведения дезинфекционных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ЭСО с демонстрацией обучающих фильмов, программ или иной информации должны быть выполнены мероприятия, предотвращающие неравномерность освещения и появление бликов на экране.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2.8.3. О</w:t>
      </w:r>
      <w:r>
        <w:rPr/>
        <w:t>стекление окон выполняется из цельного стекла. Не допускается наличие трещин и иное нарушение целостности стекла. Чистка оконных стекол проводится по мере их загрязнения.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2.8.4.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5" w:name="Par285"/>
      <w:bookmarkEnd w:id="55"/>
      <w:r>
        <w:rPr/>
        <w:t>2.8.5.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белый, тепло-белый, естественно-белый.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в одном помещении использовать разные типы ламп, а также лампы с разным светооизлучением.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2.8.6.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пылевлагонепроницаемую.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6" w:name="Par289"/>
      <w:bookmarkEnd w:id="56"/>
      <w:r>
        <w:rPr/>
        <w:t>2.8.7. В спальных корпусах дополнительно предусматривается дежурное (ночное) освещение в рекреациях (коридорах).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7" w:name="Par290"/>
      <w:bookmarkEnd w:id="57"/>
      <w:r>
        <w:rPr/>
        <w:t>2.8.8. Для равномерного освещения помещений используются отделочные материалы, 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декоративных элементов с яркой цветовой палитрой их площадь не должна превышать 25% от общей площади поверхности стен помещения.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2.8.9. Все источники искусственного освещения должны содержаться в исправном состоянии и не должны содержать следы загрязнений.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2.8.10.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2.9.1. Медицинская помощь в хозяйствующих субъектах осуществляется в соответствии с законодательством в сфере охраны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2.9.2.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2.9.3. Лица с признаками инфекционных заболеваний в объекты не допускаются. 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 &lt;9&gt; до приезда законных представителей (родителей или опекунов), до перевода в медицинскую организацию или до приезда скорой помощи.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&lt;9&gt; </w:t>
      </w:r>
      <w:hyperlink r:id="rId53">
        <w:r>
          <w:rPr>
            <w:color w:val="0000FF"/>
          </w:rPr>
          <w:t>Статья 29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2.9.4. После перенесенного заболевания дети допускаются к посещению при наличии медицинского заключения (медицинской справки).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2.9.5. В целях предотвращения возникновения и распространения инфекционных и неинфекционных заболеваний и пищевых отравлений в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полустационарной форме (с кратковременным дневным пребыванием)):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контроль за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организация профилактических и противоэпидемических мероприятий и контроль за их проведением;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работа по организации и проведению мероприятий по дезинфекции, дезинсекции и дератизации, противоклещевых (акарицидных) обработок и контроль за их проведением;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организация профилактических осмотров воспитанников и обучающихся и проведение профилактических прививок;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распределение детей в соответствии с заключением о принадлежности несовершеннолетнего к медицинской группе для занятий физической культурой &lt;10&gt;;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&lt;10&gt; </w:t>
      </w:r>
      <w:hyperlink r:id="rId54">
        <w:r>
          <w:rPr>
            <w:color w:val="0000FF"/>
          </w:rPr>
          <w:t>Пункт 7</w:t>
        </w:r>
      </w:hyperlink>
      <w:r>
        <w:rPr/>
        <w:t xml:space="preserve"> 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(приложение N 3 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Минздрава России от 23.10.2020 N 1144н (зарегистрирован Минюстом России 03.12.2020, регистрационный N 61238).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работа по формированию здорового образа жизни и реализация технологий сбережения здоровья;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контроль за соблюдением правил личной гигиены;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контроль за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Все выявленные инвазированные регистрируются в журнале для инфекционных заболеваний.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наличии бассейна с целью профилактики паразитарных заболеваний проводится лабораторный контроль качества воды в ванне плавательного бассейна хозяйствующего субъекта с одновременным отбором смывов с объектов внешней среды на паразитологические показатели.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2.9.6.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Возможность помывки в душе предоставляется ежедневно.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организациях с круглосуточным пребыванием дети должны быть обеспечены индивидуальными средствами гигиены (зубные щетки, расчески, мочалки).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2.9.7. Хозяйствующим субъектом должны быть созданы условия для мытья рук воспитанников, обучающихся и отдыхающих.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2.10. В отношении организации образовательного процесса и режима дня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2.10.1. Издательская продукция (книжные и электронные ее варианты), используемые хозяйствующим субъектом, должны соответствовать гигиеническим нормативам.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2.10.2. Кабинеты информатики и работа с ЭСО должны соответствовать гигиеническим нормативам.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профилактики нарушений осанки во время занятий должны проводиться соответствующие физические упражнения (далее физкультминутки).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5 - 7 лет - 5 - 7 минут, для учащихся 1 - 4-х классов - 10 минут, для 5 - 9-х классов - 15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1 - 2 классов - 20 минут, 3 - 4 классов - 25 минут, 5 - 9 классов - 30 минут, 10 - 11 классов - 35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Занятия с использованием ЭСО в возрастных группах до 5 лет не проводятся.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2.10.3.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Режим двигательной активности детей в течение дня организуется с учетом возрастных особенностей и состояния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контроль за осанкой, в том числе во время письма, рисования и использования ЭСО.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2.10.4.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 Содержание собственной территории и помещений хозяйствующего субъекта должно соответствовать следующим требованиям: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2.11.1.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сжигание мусора на собственной территории, в том числе в мусоросборниках.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территории используемых хозяйствующими субъектами игровых, спортивных, прогулочных площадок, в зонах отдыха должны проводиться мероприятия, направленные на профилактику инфекционных, паразитарных и массовых неинфекционных заболеваний.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каждом помещении должна стоять емкость для сбора мусора. Переполнение емкостей для мусора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в сфере обращения с отходами.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2.11.2. Все помещения подлежат ежедневной влажной уборке с применением моющих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Столы в групповых помещениях промываются горячей водой с моющим средством до и после каждого приема пищи.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Игрушки моются в специально выделенных, промаркированных емкостях.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Приобретенные игрушки (за исключением мягконабивных) перед использованием детьми моются проточной водой с мылом или иным моющим средством, безвредным для здоровья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Пенолатексные, ворсованные игрушки и мягконабивные игрушки обрабатываются согласно инструкции производителя.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Туалеты, столовые, вестибюли, рекреации подлежат влажной уборке после каждой перемены.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организации обучения в несколько смен уборка проводится по окончании каждой смены.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Уборка помещений интерната при общеобразовательной организации проводится не реже 1 раза в день.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2.11.3.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Инвентарь для туалетов после использования обрабатывается дезинфекционными средствами в соответствии с инструкцией по их применению.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2.11.4.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технических целей в туалетных помещениях устанавливается отдельный водопроводный кран.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2.11.5.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гладильной или в специальном месте в закрытых стеллажах или шкафах. Выдача чистого белья организуется так, чтобы было исключено его пересечение с грязным бельем.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2.11.6.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2.11.7. Во всех видах помещений не реже одного раза в месяц (в смену) проводится генеральная уборка с применением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2.11.8. Вытяжные вентиляционные решетки не должны содержать следов загрязнений. Очистка шахт вытяжной вентиляции проводится по мере загрязнения.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2.11.9.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появлении синантропных насекомых и грызунов проводится дезинсекция и дератизация. Дезинсекция и дератизация проводится в отсутствие детей и молодежи.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bookmarkStart w:id="58" w:name="Par378"/>
      <w:bookmarkEnd w:id="58"/>
      <w:r>
        <w:rPr>
          <w:b/>
        </w:rPr>
        <w:t>III. Требования в отношении отдельных видов осуществляемой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хозяйствующими субъектами деятельности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bookmarkStart w:id="59" w:name="Par381"/>
      <w:bookmarkEnd w:id="59"/>
      <w:r>
        <w:rPr/>
        <w:t>3.1.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зданиях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0" w:name="Par382"/>
      <w:bookmarkEnd w:id="60"/>
      <w:r>
        <w:rPr/>
        <w:t>3.1.1. 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групп раннего возраста (до 3 лет) - не менее 2,5 м</w:t>
      </w:r>
      <w:r>
        <w:rPr>
          <w:vertAlign w:val="superscript"/>
        </w:rPr>
        <w:t>2</w:t>
      </w:r>
      <w:r>
        <w:rPr/>
        <w:t xml:space="preserve"> на 1 ребенка и для групп дошкольного возраста (от 3 до 7 лет) - не менее 2 м</w:t>
      </w:r>
      <w:r>
        <w:rPr>
          <w:vertAlign w:val="superscript"/>
        </w:rPr>
        <w:t>2</w:t>
      </w:r>
      <w:r>
        <w:rPr/>
        <w:t xml:space="preserve"> на одного ребенка, без учета мебели и ее расстановки. Площадь спальной для детей до 3 лет должна составлять не менее 1,8 м</w:t>
      </w:r>
      <w:r>
        <w:rPr>
          <w:vertAlign w:val="superscript"/>
        </w:rPr>
        <w:t>2</w:t>
      </w:r>
      <w:r>
        <w:rPr/>
        <w:t xml:space="preserve"> на ребенка, для детей от 3 до 7 лет - не менее 2,0 м</w:t>
      </w:r>
      <w:r>
        <w:rPr>
          <w:vertAlign w:val="superscript"/>
        </w:rPr>
        <w:t>2</w:t>
      </w:r>
      <w:r>
        <w:rPr/>
        <w:t xml:space="preserve"> на ребенка. Физкультурный зал для детей дошкольного возраста должен быть не менее 75 м</w:t>
      </w:r>
      <w:r>
        <w:rPr>
          <w:vertAlign w:val="superscript"/>
        </w:rPr>
        <w:t>2</w:t>
      </w:r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тяжелыми нарушениями речи - 6 детей в возрасте до 3 лет и 10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фонетико-фонематическими нарушениями речи - 12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глухих детей - 6 детей для обеих возрастных групп,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слабослышащих детей - 6 детей в возрасте до 3 лет и 8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слепых детей - 6 детей для обеих возрастных групп,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слабовидящих детей - 6 детей в возрасте до 3 лет и 10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амблиопией, косоглазием - 6 детей в возрасте до 3 лет и 10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нарушениями опорно-двигательного аппарата - 6 детей в возрасте до 3 лет и 8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задержкой психоречевого развития - 6 детей в возрасте до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задержкой психического развития - 10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умственной отсталостью легкой степени - 10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умственной отсталостью умеренной, тяжелой степени - 8 детей в возрасте старше 3 лет,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расстройствами аутистического спектра - 5 детей для обеих возрастных групп,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со сложными дефектами (тяжелыми и множественными нарушениями развития) - 5 детей для обеих возрастных групп.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детей в группах комбинированной направленности не должно превышать: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возрасте до 3 лет - не более 10 детей, в том числе не более 3 детей с ограниченными возможностями здоровья;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возрасте старше 3 лет, в том числе: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1" w:name="Par408"/>
      <w:bookmarkEnd w:id="61"/>
      <w:r>
        <w:rPr/>
        <w:t>3.1.2. Дошкольные организации должны иметь собственную территорию для прогулок детей (отдельно для каждой группы).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r>
        <w:rPr>
          <w:vertAlign w:val="superscript"/>
        </w:rPr>
        <w:t>2</w:t>
      </w:r>
      <w:r>
        <w:rPr/>
        <w:t xml:space="preserve"> на одного ребенка, но не менее 20 м</w:t>
      </w:r>
      <w:r>
        <w:rPr>
          <w:vertAlign w:val="superscript"/>
        </w:rPr>
        <w:t>2</w:t>
      </w:r>
      <w:r>
        <w:rPr/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2" w:name="Par411"/>
      <w:bookmarkEnd w:id="62"/>
      <w:r>
        <w:rPr/>
        <w:t>Допускается установка на прогулочной площадке сборно-разборных навесов, беседок.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организации прогулок детей младенческого возраста используются прогулочные коляски (в том числе многоместные).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3" w:name="Par413"/>
      <w:bookmarkEnd w:id="63"/>
      <w:r>
        <w:rPr/>
        <w:t>3.1.3. 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 дополнительных занятий), а также иных помещений (помещения для оказания медицинской помощи, пищеблок, помещения для стирки белья) и помещений служебно-бытового назначения.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4" w:name="Par419"/>
      <w:bookmarkEnd w:id="64"/>
      <w:r>
        <w:rPr/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5" w:name="Par421"/>
      <w:bookmarkEnd w:id="65"/>
      <w:r>
        <w:rPr/>
        <w:t>Игрушки, используемые на прогулке, хранятся отдельно от игрушек, используемых в группе, в специально отведенных местах.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6" w:name="Par422"/>
      <w:bookmarkEnd w:id="66"/>
      <w:r>
        <w:rPr/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раздевальных комнатах или в отдельных помещениях создаются условия для сушки верхней одежды и обуви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3.1.4. Для детей младенческого и раннего возраста раздевальную комнату следует оборудовать пеленальными столами, стульями, раковиной для мытья рук, шкафом для одежды матерей, местом для грудного кормления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игровых для детей раннего возраста устанавливают пеленальные столы и столики, манеж с покрытием из материалов, позволяющих проводить влажную обработку и дезинфекцию.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3.1.5. В игровых комнатах для детей от 1,5 лет и старше столы и стулья устанавливаются согласно общему количеству детей в группах.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3.1.6. Расстановка кроватей должна обеспечивать свободный проход детей между ними.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использовании раскладных кроватей в каждом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кроватей должно соответствовать общему количеству детей, находящихся в группе.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7" w:name="Par430"/>
      <w:bookmarkEnd w:id="67"/>
      <w:r>
        <w:rPr/>
        <w:t>3.1.7.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8" w:name="Par431"/>
      <w:bookmarkEnd w:id="68"/>
      <w:r>
        <w:rPr/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Индивидуальные горшки маркируются по общему количеству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69" w:name="Par433"/>
      <w:bookmarkEnd w:id="69"/>
      <w:r>
        <w:rPr/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использование детского туалета персоналом.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0" w:name="Par435"/>
      <w:bookmarkEnd w:id="70"/>
      <w:r>
        <w:rPr/>
        <w:t>В умывальной зоне устанавливаются вешалки для детских полотенец (отдельно для рук и ног), количество которых должно соответствовать общему количеству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круглосуточном режиме пребывания детей оборудуют ванные комнаты с душевыми кабинами (ваннами, поддонами).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3.1.8.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3.1.9.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3.1.10. Допускается доставка готовых блюд из других организаций в соответствии с </w:t>
      </w:r>
      <w:hyperlink w:anchor="Par109">
        <w:r>
          <w:rPr>
            <w:color w:val="0000FF"/>
          </w:rPr>
          <w:t>пунктом 1.9</w:t>
        </w:r>
      </w:hyperlink>
      <w:r>
        <w:rPr/>
        <w:t xml:space="preserve"> Правил. Доставка готовых блюд должна осуществляться в изотермической таре.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1" w:name="Par440"/>
      <w:bookmarkEnd w:id="71"/>
      <w:r>
        <w:rPr/>
        <w:t>3.1.11. 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 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 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Возможно совмещение в одном помещении туалета и умывальной комнаты.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2" w:name="Par443"/>
      <w:bookmarkEnd w:id="72"/>
      <w:r>
        <w:rPr/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Каждый ребенок обеспечивается индивидуальным полотенцем для рук, а при организации 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3" w:name="Par445"/>
      <w:bookmarkEnd w:id="73"/>
      <w:r>
        <w:rPr/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r>
        <w:rPr>
          <w:vertAlign w:val="superscript"/>
        </w:rPr>
        <w:t>2</w:t>
      </w:r>
      <w:r>
        <w:rPr/>
        <w:t xml:space="preserve"> на одно посадочное место. Количество посадочных мест должно обеспечивать одновременный прием пищи всеми детьми.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4" w:name="Par447"/>
      <w:bookmarkEnd w:id="74"/>
      <w:r>
        <w:rPr/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законодательства, если это не противоречит требованиям жилищного законодательства.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организации прогулок детей младенческого возраста используются прогулочные коляски (в том числе многоместные).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просушивание белья, одежды и обуви в игровой комнате, спальне, кухне.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5" w:name="Par451"/>
      <w:bookmarkEnd w:id="75"/>
      <w:r>
        <w:rPr/>
        <w:t>3.2.1.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6" w:name="Par452"/>
      <w:bookmarkEnd w:id="76"/>
      <w:r>
        <w:rPr/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Детям должен быть обеспечен питьевой режим.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3.2.2. Помещения оборудуются вешалками для верхней одежды, полками для обуви.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3.2.3. Вновь приобретаемое оборудование, игры и игрушки для детей должны иметь документы об оценке (подтверждении)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7" w:name="Par457"/>
      <w:bookmarkEnd w:id="77"/>
      <w:r>
        <w:rPr/>
        <w:t>3.2.4. В помещениях предусматривается естественное и (или) искусственное освещение.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3.2.5. Заболевшие дети, а также дети с подозрением на наличие инфекционного заболевания к посещению хозяйствующего субъекта не допускаются.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3.2.6.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8" w:name="Par460"/>
      <w:bookmarkEnd w:id="78"/>
      <w:r>
        <w:rPr/>
        <w:t>3.2.7. Туалет оборудуется унитазом, обеспечивается индивидуальными сидениями (в том числе, одноразовыми) для каждого ребенка. Для детей до 3 лет - индивидуальными горшками.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совмещение в одном туалетном помещении туалета для детей и персонала или использование детьми туалета и умывальной комнаты персонала.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3.2.8. Каждый ребенок обеспечивается индивидуальным полотенцем для рук. Допускается использование одноразовых полотенец.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3.2.9.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3.2.10. При организации образовательной деятельности пребывание и размещение детей осуществляется в соответствии с требованиями </w:t>
      </w:r>
      <w:hyperlink w:anchor="Par440">
        <w:r>
          <w:rPr>
            <w:color w:val="0000FF"/>
          </w:rPr>
          <w:t>пункта 3.1.11</w:t>
        </w:r>
      </w:hyperlink>
      <w:r>
        <w:rPr/>
        <w:t xml:space="preserve">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9" w:name="Par465"/>
      <w:bookmarkEnd w:id="79"/>
      <w:r>
        <w:rPr/>
        <w:t>3.3.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0" w:name="Par466"/>
      <w:bookmarkEnd w:id="80"/>
      <w:r>
        <w:rPr/>
        <w:t>3.3.1.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1" w:name="Par467"/>
      <w:bookmarkEnd w:id="81"/>
      <w:r>
        <w:rPr/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использование туалетов, расположенных в торгово-развлекательных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обеспечивается питьевой режим.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3.3.2. Используемое игровое оборудование должно соответствовать обязательным требованиям, установленным техническими регламентами,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2" w:name="Par472"/>
      <w:bookmarkEnd w:id="82"/>
      <w:r>
        <w:rPr/>
        <w:t>3.3.3. В игровых комнатах предусматривается естественное и (или) искусственное освещение.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3.3.4. В игровые комнаты принимаются дети, не имеющие визуальных признаков инфекционных заболеваний.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3" w:name="Par474"/>
      <w:bookmarkEnd w:id="83"/>
      <w:r>
        <w:rPr/>
        <w:t>3.4.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4" w:name="Par475"/>
      <w:bookmarkEnd w:id="84"/>
      <w:r>
        <w:rPr/>
        <w:t>3.4.1.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выполнения рабочих программ учебного предмета "Физическая культура",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содержанию мест, предназначенных для занятий спортом и физической культурой. Приобретаемое оборудование для детских игровых площадок должно иметь документы об оценке (подтверждении)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5" w:name="Par478"/>
      <w:bookmarkEnd w:id="85"/>
      <w:r>
        <w:rPr/>
        <w:t>3.4.2.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6" w:name="Par479"/>
      <w:bookmarkEnd w:id="86"/>
      <w:r>
        <w:rPr/>
        <w:t>3.4.3. Для всех обучающихся должны быть созданы условия для организации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мест в обеденном зале должно обеспечивать организацию питания всех обучающихся в течение не более трех перемен, во вновь строящихся и реконструируемых - не более чем в две перемены. Число одновременно питающихся детей не должно превышать количество посадочных мест в обеденном зале по проекту.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7" w:name="Par481"/>
      <w:bookmarkEnd w:id="87"/>
      <w:r>
        <w:rPr/>
        <w:t>При обеденном зале устанавливаются умывальники из расчета один кран на 20 посадочных мест.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8" w:name="Par482"/>
      <w:bookmarkEnd w:id="88"/>
      <w:r>
        <w:rPr/>
        <w:t>3.4.4. Учебные кабинеты и рекреационные помещения для обучающихся 1 - 4 классов размещаются на 1 - 3 этажах отдельного здания или отдельного блока, кабинеты технологии для мальчиков размещаются на 1 этаже.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9" w:name="Par483"/>
      <w:bookmarkEnd w:id="89"/>
      <w:r>
        <w:rPr/>
        <w:t>3.4.5. В гардеробах оборудуют места для каждого класса, исходя из площади не менее 0,15 м</w:t>
      </w:r>
      <w:r>
        <w:rPr>
          <w:vertAlign w:val="superscript"/>
        </w:rPr>
        <w:t>2</w:t>
      </w:r>
      <w:r>
        <w:rPr/>
        <w:t xml:space="preserve"> на ребенка.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1 - 4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гардероба).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3.4.6. Обучающиеся 1 - 4 классов размещаются в закрепленных за каждым классом учебных кабинетах, за исключением обучения, требующего специального оборудования.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3.4.7. Для обучающихся 5 - 11 классов образовательный процесс может быть организован по кабинетной системе. При невозможности обеспечить обучающихся 5 - 11 классов учебной мебелью соответствующей их росту во всех учебных кабинетах, и лабораториях, задействованных в образовательном процессе, обучение проводится в одном учебном кабинете, оборудованном мебелью, соответствующей росту и возрасту обучающихся. Приобретаемая учебная мебель должна иметь документы об оценке (подтверждении) соответствия.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3.4.8.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 и защитные бортики по наружному краю стола. Лаборантскую и учебный кабинет химии оборудуют вытяжными шкафами.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0" w:name="Par489"/>
      <w:bookmarkEnd w:id="90"/>
      <w:r>
        <w:rPr/>
        <w:t>3.4.9. При размещении в общеобразовательных организациях спортивного зала выше 1 этажа, проводят шумоизоляционные мероприятия, обеспечивающие нормируемые уровни шума в смежных помещениях.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r>
        <w:rPr>
          <w:vertAlign w:val="superscript"/>
        </w:rPr>
        <w:t>2</w:t>
      </w:r>
      <w:r>
        <w:rPr/>
        <w:t>, душевых - 12,0 м</w:t>
      </w:r>
      <w:r>
        <w:rPr>
          <w:vertAlign w:val="superscript"/>
        </w:rPr>
        <w:t>2</w:t>
      </w:r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3.4.10. На каждом этаже размещаются санитарные узлы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персонала оборудуется отдельный санузел (кабина).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5 - 11 классов необходимо оборудовать комнату (кабину) личной гигиены девочек площадью не менее 3,0 м</w:t>
      </w:r>
      <w:r>
        <w:rPr>
          <w:vertAlign w:val="superscript"/>
        </w:rPr>
        <w:t>2</w:t>
      </w:r>
      <w:r>
        <w:rPr/>
        <w:t>, оснащенную унитазом, умывальной раковиной, душевым поддоном с гибким шлангом, биде или иным оборудованием, обеспечивающим личную гигиену.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3.4.11.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административно-хозяйственные помещения, санузлы.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3.4.12. В учебных кабинетах обеспечивается боковое левостороннее естественное освещение за исключением случаев, указанных в </w:t>
      </w:r>
      <w:hyperlink w:anchor="Par268">
        <w:r>
          <w:rPr>
            <w:color w:val="0000FF"/>
          </w:rPr>
          <w:t>абзаце 2 пункта 2.8.2</w:t>
        </w:r>
      </w:hyperlink>
      <w:r>
        <w:rPr/>
        <w:t xml:space="preserve">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1" w:name="Par496"/>
      <w:bookmarkEnd w:id="91"/>
      <w:r>
        <w:rPr/>
        <w:t>3.4.13. 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1 - 4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2" w:name="Par497"/>
      <w:bookmarkEnd w:id="92"/>
      <w:r>
        <w:rPr/>
        <w:t xml:space="preserve">3.4.14. Количество обучающихся в классе определяется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</w:t>
      </w:r>
      <w:hyperlink w:anchor="Par382">
        <w:r>
          <w:rPr>
            <w:color w:val="0000FF"/>
          </w:rPr>
          <w:t>пункте 3.1.1</w:t>
        </w:r>
      </w:hyperlink>
      <w:r>
        <w:rPr/>
        <w:t xml:space="preserve"> Правил категории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3" w:name="Par500"/>
      <w:bookmarkEnd w:id="93"/>
      <w:r>
        <w:rPr/>
        <w:t>- не менее 2,5 м</w:t>
      </w:r>
      <w:r>
        <w:rPr>
          <w:vertAlign w:val="superscript"/>
        </w:rPr>
        <w:t>2</w:t>
      </w:r>
      <w:r>
        <w:rPr/>
        <w:t xml:space="preserve"> на одного обучающегося при фронтальных формах занятий;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не менее 3,5 м</w:t>
      </w:r>
      <w:r>
        <w:rPr>
          <w:vertAlign w:val="superscript"/>
        </w:rPr>
        <w:t>2</w:t>
      </w:r>
      <w:r>
        <w:rPr/>
        <w:t xml:space="preserve"> на одного обучающегося при организации групповых форм работы и индивидуальных занятий.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4" w:name="Par502"/>
      <w:bookmarkEnd w:id="94"/>
      <w:r>
        <w:rPr/>
        <w:t>Предельная наполняемость отдельного класса (группы), группы продленного дня для обучающихся с ограниченными возможностями здоровья устанавливается в зависимости от нозологической группы: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глухих обучающихся - 6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слабослышащих и позднооглохших обучающихся с легким недоразвитием речи, обусловленным нарушением слуха, - 10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слабослышащих и позднооглохших обучающихся с глубоким недоразвитием речи, обусловленным нарушением слуха, - 6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слепых обучающихся - 8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слабовидящих обучающихся - 12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с тяжелыми нарушениями речи - 12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с нарушениями опорно-двигательного аппарата - 10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обучающихся, имеющих задержку психического развития, - 12 человек, для учащихся с умственной отсталостью (интеллектуальными нарушениями) - 12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с расстройствами аутистического спектра - 8 человек,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со сложными дефектами (с тяжелыми множественными нарушениями развития) - 5 человек.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обучающихся с ограниченными возможностями здоровья устанавливается из расчета не более 3 обучающихся при получении образования совместно с другими учащимися.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3.4.15. В общеобразовательных организациях, работающих в две смены, обучение 1, 5, 9 - 11 классов и классов для обучающихся с ограниченными возможностями здоровья проводится в первую смену.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3.4.16. При реализации образовательных программ должны соблюдаться следующие санитарно-эпидемиологические требования &lt;11&gt;: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&lt;11&gt; </w:t>
      </w:r>
      <w:hyperlink r:id="rId55">
        <w:r>
          <w:rPr>
            <w:color w:val="0000FF"/>
          </w:rPr>
          <w:t>статья 28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2011, N 30, ст. 4596; 2012, N 24, ст. 3069; 2013, N 27, ст. 3477) и </w:t>
      </w:r>
      <w:hyperlink r:id="rId56">
        <w:r>
          <w:rPr>
            <w:color w:val="0000FF"/>
          </w:rPr>
          <w:t>статья 11</w:t>
        </w:r>
      </w:hyperlink>
      <w:r>
        <w:rPr/>
        <w:t xml:space="preserve"> Федерального закона от 29.12.2012 N 273-ФЗ "Об образовании в Российской Федерации" (Собрание законодательства РФ, 31.12.2012, N 53, ст. 7598; 2019, N 49, ст. 6962).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Урочная деятельность обучающихся с ограниченными возможностями здоровья организуется по 5 дневной учебной неделе, в субботу возможны организация проведение внеурочной деятельности.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1-х классов - не должен превышать 4 уроков и один раз в неделю - 5 уроков, за счет урока физической культуры,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2 - 4 классов - не более 5 уроков и один раз в неделю 6 уроков за счет урока физической культуры,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5 - 6 классов - не более 6 уроков, для обучающихся 7 - 11 классов - не более 7 уроков.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Обучение в 1 классе осуществляется с соблюдением следующих требований: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учебные занятия проводятся по 5-дневной учебной неделе и только в первую смену,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середине учебного дня организуется динамическая пауза продолжительностью не менее 40 минут,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Продолжительность урока не должна превышать 45 минут, за исключением 1 класса и компенсирующего класса, продолжительность урока в которых не должна превышать 40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слабовидящих обучающихся 1 - 4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3.4.17. Все работы в учебных кабинетах технологии, обучающиеся выполняют в специальной одежде и (или) с использованием средств индивидуальной защиты.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обучающихся с ограниченными возможностями здоровья.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Организация профильного обучения в 10 - 11 классах не должна приводить к увеличению образовательной нагрузки.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3.4.18.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 предметам по выбору участников ЕГЭ допускается их проведение через день.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продолжительности экзамена от 4 часов и более обучающиеся обеспечиваются питанием. Независимо от продолжительности экзамена обеспечивается питьевой режим.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Время ожидания начала экзамена в классах не должно превышать 30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3.4.19.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5" w:name="Par551"/>
      <w:bookmarkEnd w:id="95"/>
      <w:r>
        <w:rPr/>
        <w:t>3.5.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3.5.1.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3.5.2.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3.5.3. Для образовательных целей мобильные средства связи не используются.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Размещение базовых станций подвижной сотовой связи на собственной территории образовательных организаций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3.5.4. Использование ноутбуков обучающимися начальных классов возможно при наличии дополнительной клавиатуры.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3.5.5. Оконные проемы в помещениях, где используются ЭСО, должны быть оборудованы светорегулируемыми устройствами.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3.5.6. Линейные размеры (диагональ) экрана ЭСО должны соответствовать гигиеническим нормативам.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3.5.7.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размещения на столе под углом наклона 30°.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3.5.8. Шрифтовое оформление электронных учебных изданий должно соответствовать гигиеническим нормативам.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3.5.9.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3.5.10. При необходимости использовать наушники, время их непрерывного использования для всех возрастных групп должно составлять не более часа. Уровень громкости не должен превышать 60% от максимальной. Внутриканальные наушники должны быть предназначены только для индивидуального использования.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3.5.11. Интерактивную доску (панель) и другие ЭСО следует выключать или переводить в режим ожидания, когда их использование приостановлено или завершено.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3.5.12. 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3.5.13. Режим учебного дня, в том числе во время учебных занятий, должен включать различные формы двигательной активности.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3.5.14.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3.5.15. В помещении, где организовано рабочее место обучающегося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6" w:name="Par569"/>
      <w:bookmarkEnd w:id="96"/>
      <w:r>
        <w:rPr/>
        <w:t>3.6. В организациях дополнительного образования и физкультурно-спортивных организациях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7" w:name="Par570"/>
      <w:bookmarkEnd w:id="97"/>
      <w:r>
        <w:rPr/>
        <w:t>3.6.1.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Раздевалки для верхней одежды размещают на первом или цокольном (подвальном) этаже хозяйствующего субъекта.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организациях с количеством до 20 человек допустимо оборудование одного туалета.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персонала выделяется отдельный туалет (кабина).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Мастерские, лаборатории оборудуются умывальными раковинами, кладовыми (шкафами).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помещениях для занятий на музыкальных инструментах, танцами, вокалом, мастерских с использованием оборудования, являющегося дополнительным источником шума, выполняются шумоизолирующие мероприятия.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3.6.2.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Занятия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Раздевалки оборудуются скамьями и шкафчиками (вешалками).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8" w:name="Par580"/>
      <w:bookmarkEnd w:id="98"/>
      <w:r>
        <w:rPr/>
        <w:t>3.6.3. Состав помещений физкультурно-спортивных организаций определяется видом спорта.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Раздевалки оборудуются скамьями и шкафчиками (вешалками), устройствами для сушки волос.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9" w:name="Par583"/>
      <w:bookmarkEnd w:id="99"/>
      <w:r>
        <w:rPr/>
        <w:t>Спортивный инвентарь хранится в помещениях снарядных при спортивных залах.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3.7. В организациях для детей-сирот и детей, оставшихся без попечения родителей,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3.7.1.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 </w:t>
      </w:r>
      <w:hyperlink w:anchor="Par381">
        <w:r>
          <w:rPr>
            <w:color w:val="0000FF"/>
          </w:rPr>
          <w:t>пункта 3.1</w:t>
        </w:r>
      </w:hyperlink>
      <w:r>
        <w:rPr/>
        <w:t xml:space="preserve">. Правил, образовательных программ начального общего, основного общего и среднего общего образования - в соответствии с требованиями </w:t>
      </w:r>
      <w:hyperlink w:anchor="Par465">
        <w:r>
          <w:rPr>
            <w:color w:val="0000FF"/>
          </w:rPr>
          <w:t>пункта 3.3</w:t>
        </w:r>
      </w:hyperlink>
      <w:r>
        <w:rPr/>
        <w:t>.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наличии в воспитательной группе детей в возрасте до 4 лет и старше наполняемость группы не должна превышать 6 человек.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0" w:name="Par589"/>
      <w:bookmarkEnd w:id="100"/>
      <w:r>
        <w:rPr/>
        <w:t>3.7.2.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 стиральными машинами.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постоянного пребывания и проживания детей оборудуются приборами по обеззараживанию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3.7.3. Раздевальное помещение (прихожая) оборудуется шкафами для раздельного хранения одежды и обуви.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1" w:name="Par594"/>
      <w:bookmarkEnd w:id="101"/>
      <w:r>
        <w:rPr/>
        <w:t>3.7.4. В каждой группе должны быть обеспечены условия для просушивания верхней одежды и обуви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2" w:name="Par595"/>
      <w:bookmarkEnd w:id="102"/>
      <w:r>
        <w:rPr/>
        <w:t>3.7.5. В состав помещений организаций для детей-сирот и детей, оставшихся без попечения родителей, включается приемно-карантинное отделение и помещения для проведения реабилитационных мероприятий.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3.8. В учреждениях социального обслуживания семьи и детей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3" w:name="Par597"/>
      <w:bookmarkEnd w:id="103"/>
      <w:r>
        <w:rPr/>
        <w:t>3.8.1. 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Жилые помещения по типу групповых ячеек должны быть для группы численностью не более 6 человек.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3.8.2.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санитарно-бытовых помещений (санитарный узел, душевая (ванная) комната).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м2 на 1 койку.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Помещение для оказания медицинской помощи размещается рядом с палатами изолятора и должно иметь отдельный вход из коридора.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3.8.3. Набор помещений учреждений временного пребывания детей определяется направленностью реализуемых мероприятий и программ.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Раздевалки размещаются на первом или цокольном этаже.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постоянного пребывания и проживания детей оборудуются приборами по обеззараживанию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4" w:name="Par609"/>
      <w:bookmarkEnd w:id="104"/>
      <w:r>
        <w:rPr/>
        <w:t>3.9. В профессиональных образовательных организациях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5" w:name="Par610"/>
      <w:bookmarkEnd w:id="105"/>
      <w:r>
        <w:rPr/>
        <w:t>3.9.1.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располагаться со стороны входа в производственные помещения и иметь самостоятельный въезд.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6" w:name="Par612"/>
      <w:bookmarkEnd w:id="106"/>
      <w:r>
        <w:rPr/>
        <w:t xml:space="preserve">3.9.2. Учебные помещения, в которых реализуется общеобразовательная программа, и их оборудование должны соответствовать </w:t>
      </w:r>
      <w:hyperlink w:anchor="Par474">
        <w:r>
          <w:rPr>
            <w:color w:val="0000FF"/>
          </w:rPr>
          <w:t>пункту 3.4</w:t>
        </w:r>
      </w:hyperlink>
      <w:r>
        <w:rPr/>
        <w:t xml:space="preserve">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7" w:name="Par613"/>
      <w:bookmarkEnd w:id="107"/>
      <w:r>
        <w:rPr/>
        <w:t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общепрофильного и профессионального циклов, а также помещения по профилю обучения.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8" w:name="Par615"/>
      <w:bookmarkEnd w:id="108"/>
      <w:r>
        <w:rPr/>
        <w:t>3.9.3.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устанавливаются в отдельном помещении, изолированном от учебных помещений.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9" w:name="Par616"/>
      <w:bookmarkEnd w:id="109"/>
      <w:r>
        <w:rPr/>
        <w:t>Сверлильные, точильные и другие станки в учебных мастерских должны устанавливаться на фундаменте (кроме настольно-сверлильных и настольно-точильных) и оборудоваться предохранительными сетками, стеклами и местным освещением.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Столярные и слесарные верстаки должны соответствовать росту обучающихся и оснащаться подставками для ног.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0" w:name="Par618"/>
      <w:bookmarkEnd w:id="110"/>
      <w:r>
        <w:rPr/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1" w:name="Par620"/>
      <w:bookmarkEnd w:id="111"/>
      <w:r>
        <w:rPr/>
        <w:t>Учебно-производственные мастерские оборудуют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отдельно стоящем здании мастерских предусматривают гардеробную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2" w:name="Par622"/>
      <w:bookmarkEnd w:id="112"/>
      <w:r>
        <w:rPr/>
        <w:t>3.9.4.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 общую и местную механическую вентиляцию.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3.9.5. В профессиональной образовательной организации должно быть организовано двухразовое горячее питание для обучающихся, а для проживающих в общежитии - пятиразовое горячее питание. 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для лиц, не достигших 18 лет &lt;12&gt;.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&lt;12&gt; </w:t>
      </w:r>
      <w:hyperlink r:id="rId57">
        <w:r>
          <w:rPr>
            <w:color w:val="0000FF"/>
          </w:rPr>
          <w:t>Перечень</w:t>
        </w:r>
      </w:hyperlink>
      <w:r>
        <w:rPr/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 постановлением Правительства Российской Федерации от 25.02.2000 N 163 (Собрание законодательства Российской Федерации, 2000, N 10, ст. 1131; 2001, N 26, ст. 2685; 2011, N 26, ст. 3803).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Условия прохождения практики на рабочих местах для лиц, не достигших 18 лет, должны соответствовать требованиям безопасности условий труда работников, не достигших 18 лет.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3" w:name="Par629"/>
      <w:bookmarkEnd w:id="113"/>
      <w:r>
        <w:rPr/>
        <w:t>3.10. В образовательных организациях высшего образования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4" w:name="Par630"/>
      <w:bookmarkEnd w:id="114"/>
      <w:r>
        <w:rPr/>
        <w:t>3.10.1.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иметь самостоятельный въезд.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5" w:name="Par632"/>
      <w:bookmarkEnd w:id="115"/>
      <w:r>
        <w:rPr/>
        <w:t xml:space="preserve">3.10.2. Учебные помещения и оборудование для учебно-производственной деятельности должны соответствовать требованиям </w:t>
      </w:r>
      <w:hyperlink w:anchor="Par474">
        <w:r>
          <w:rPr>
            <w:color w:val="0000FF"/>
          </w:rPr>
          <w:t>пунктов 3.4</w:t>
        </w:r>
      </w:hyperlink>
      <w:r>
        <w:rPr/>
        <w:t xml:space="preserve">, </w:t>
      </w:r>
      <w:hyperlink w:anchor="Par551">
        <w:r>
          <w:rPr>
            <w:color w:val="0000FF"/>
          </w:rPr>
          <w:t>3.5</w:t>
        </w:r>
      </w:hyperlink>
      <w:r>
        <w:rPr/>
        <w:t xml:space="preserve">, </w:t>
      </w:r>
      <w:hyperlink w:anchor="Par609">
        <w:r>
          <w:rPr>
            <w:color w:val="0000FF"/>
          </w:rPr>
          <w:t>3.9</w:t>
        </w:r>
      </w:hyperlink>
      <w:r>
        <w:rPr/>
        <w:t xml:space="preserve">, </w:t>
      </w:r>
      <w:hyperlink w:anchor="Par569">
        <w:r>
          <w:rPr>
            <w:color w:val="0000FF"/>
          </w:rPr>
          <w:t>3.6</w:t>
        </w:r>
      </w:hyperlink>
      <w:r>
        <w:rPr/>
        <w:t xml:space="preserve"> Правил.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6" w:name="Par633"/>
      <w:bookmarkEnd w:id="116"/>
      <w:r>
        <w:rPr/>
        <w:t>3.11.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3.11.1. Хозяйствующие субъекты в срок не позднее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заездов детей, режиме работы и количестве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3.11.2.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Генеральная уборка собственной территории и всех помещений проводится перед началом каждой смены с применением моющих и дезинфицирующих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 &lt;13&gt;. Указанные сведения вносятся в справку не ранее чем за 3 рабочих дня до отъезда.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&lt;13&gt; </w:t>
      </w:r>
      <w:hyperlink r:id="rId58">
        <w:r>
          <w:rPr>
            <w:color w:val="0000FF"/>
          </w:rPr>
          <w:t>Форма N 079/у</w:t>
        </w:r>
      </w:hyperlink>
      <w:r>
        <w:rPr/>
        <w:t xml:space="preserve"> "Медицинская справка о состоянии здоровья ребенка, отъезжающего в организацию отдыха детей и их оздоровления" утверждена приказом Минздрава России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Минздрава России 09.01.2018 N 2н (зарегистрирован Минюстом России 04.04.2018, регистрационный N 50614) и от 02.11.2020 N 1186н (зарегистрирован Минюстом России от 27.11.2020, регистрационный N 61121).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7" w:name="Par645"/>
      <w:bookmarkEnd w:id="117"/>
      <w:r>
        <w:rPr/>
        <w:t>3.11.3. На собственной территории выделяют следующие зоны: жилая, физкультурно-оздоровительная, хозяйственная.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8" w:name="Par648"/>
      <w:bookmarkEnd w:id="118"/>
      <w:r>
        <w:rPr/>
        <w:t>3.11.4. 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 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для стирки белья могут быть оборудованы в отдельном помещении.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Допускается использование двухъярусных кроватей при условии соблюдения нормы площади на одного ребенка и количества проживающих в комнате.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зданиях для проживания детей обеспечиваются условия для просушивания верхней одежды и обуви.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19" w:name="Par652"/>
      <w:bookmarkEnd w:id="119"/>
      <w:r>
        <w:rPr/>
        <w:t>3.11.5. Минимальный набор помещений для оказания медицинской помощи включает: кабинет 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помещений, туалет с умывальником.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Возможно оборудование в медицинском пункте или в изоляторе душевой (ванной комнаты).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20" w:name="Par655"/>
      <w:bookmarkEnd w:id="120"/>
      <w:r>
        <w:rPr/>
        <w:t>3.11.6.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Хозяйствующим субъектом обеспечивается освещение дорожек, ведущих к туалетам.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3.11.7. Для хранения и размещения личных сумок (чемоданов, рюкзаков) детей выделяется специальное помещение, оборудованное стеллажами (или выделяют специальное оборудованное место).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3.11.8. С целью выявления педикулеза у детей перед началом смены и не реже одного раза в 7 дней проводятся осмотры детей. Дети с педикулезом к посещению не допускаются.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Ежедневно должна проводиться бесконтактная термометрия детей и сотрудников.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вспомогательных, &lt;14&gt; до приезда законных представителей (родителей или опекунов), до перевода в медицинскую организацию или до приезда скорой помощи.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&lt;14&gt; </w:t>
      </w:r>
      <w:hyperlink r:id="rId59">
        <w:r>
          <w:rPr>
            <w:color w:val="0000FF"/>
          </w:rPr>
          <w:t>Статья 29</w:t>
        </w:r>
      </w:hyperlink>
      <w:r>
        <w:rPr/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3.11.10. 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3.11.11. Допустимая температура воздуха составляет не ниже: в спальных помещениях +18 °C, в спортивных залах +17 °C, душевых +25 °C, в столовой, в помещениях культурно-массового назначения и для занятий +18 °C.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21" w:name="Par668"/>
      <w:bookmarkEnd w:id="121"/>
      <w:r>
        <w:rPr/>
        <w:t>3.12. В организациях отдыха детей и их оздоровления с дневным пребыванием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3.12.1. Хозяйствующие субъекты в срок не позднее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потребителей, о планируемых сроках заездов детей и режиме работы, а также количестве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3.12.2.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3.12.3.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3.12.4.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3.12.5. Прием детей осуществляется при наличии справки о состоянии здоровья ребенка, содержащей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 В палаточных лагерях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3.13.1. Хозяйствующие субъекты в срок не позднее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3.13.2.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аккарицидная обработка, мероприятия по борьбе с грызунами.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 палаточному лагерю должен быть обеспечен подъезд транспорта.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Смены проводятся при установившейся ночной температуре воздуха окружающей среды не ниже +15 °C. Продолжительность смены определяется ее спецификой (профилем, программой) и климатическими условиями.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отъезда.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Дети-инвалиды и дети с ограниченными возможностями здоровья принимаются в организации, в которых созданы условия для их пребывания.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3.13.3. Территория, на которой размещается палаточный лагерь, обозначается по периметру знаками.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 территории размещения палаточного лагеря предусматриваются зоны: жилая; приготовления и приема пищи, хранения продуктов питания; санитарно-бытовая; административно-хозяйственная; физкультурно-оздоровительная.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r>
        <w:rPr>
          <w:vertAlign w:val="superscript"/>
        </w:rPr>
        <w:t>2</w:t>
      </w:r>
      <w:r>
        <w:rPr/>
        <w:t>. Для изоляции заболевших детей используются отдельные помещения или палатки не более чем на 3 места, совместное проживание в которых детей и персонала не допускается.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темное время суток обеспечивается дежурное освещение тропинок, ведущих к туалетам.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3.13.4. По периметру размещения палаток оборудуется отвод для дождевых вод, палатки устанавливаются на настил.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3.13.5.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Могут использоваться личные теплоизоляционные коврики, спальные мешки, вкладыши.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детей, проживающих в палатке, должно соответствовать вместимости, указанной в техническом паспорте палатки.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3.13.6.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3.13.8. Запас постельного белья и вкладышей в спальные мешки формируется с учетом обеспечения смены комплекта не менее 1 раза в 7 календарных дней.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3.13.9. Организованная помывка детей должна проводиться не реже 1 раза в 7 календарных дней.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3.13.10. Для просушивания одежды и обуви на территории палаточного лагеря оборудуется специальное место.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3.13.11. На территории санитарно-бытовой зоны палаточного лагеря размещаются умывальники, 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очко (размером не более 0,2 м x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3.13.12.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крышкой. Содержимое компостной ямы ежедневно присыпается слоем земли. При заполнении ямы она засыпается землей.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3.13.13. Сточные воды отводятся в специальную яму, закрытую крышкой. Наполнение ямы не должно превышать ее объема.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Мыльные воды должны проходить очистку через фильтр для улавливания мыльных вод.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Ямы-поглотители, ямы надворных туалетов, надворные туалеты ежедневно обрабатываются раствором дезинфекционных средств.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3.13.14.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3.13.15. Организация питания в палаточных лагерях осуществляется в соответствии с </w:t>
      </w:r>
      <w:hyperlink w:anchor="Par190">
        <w:r>
          <w:rPr>
            <w:color w:val="0000FF"/>
          </w:rPr>
          <w:t>абзацами вторым</w:t>
        </w:r>
      </w:hyperlink>
      <w:r>
        <w:rPr/>
        <w:t xml:space="preserve"> - </w:t>
      </w:r>
      <w:hyperlink w:anchor="Par192">
        <w:r>
          <w:rPr>
            <w:color w:val="0000FF"/>
          </w:rPr>
          <w:t>четвертым</w:t>
        </w:r>
      </w:hyperlink>
      <w:r>
        <w:rPr/>
        <w:t xml:space="preserve">, </w:t>
      </w:r>
      <w:hyperlink w:anchor="Par198">
        <w:r>
          <w:rPr>
            <w:color w:val="0000FF"/>
          </w:rPr>
          <w:t>десятым пункта 2.4.6</w:t>
        </w:r>
      </w:hyperlink>
      <w:r>
        <w:rPr/>
        <w:t xml:space="preserve"> Правил и санитарно-эпидемиологическими </w:t>
      </w:r>
      <w:hyperlink r:id="rId60">
        <w:r>
          <w:rPr>
            <w:color w:val="0000FF"/>
          </w:rPr>
          <w:t>требованиями</w:t>
        </w:r>
      </w:hyperlink>
      <w:r>
        <w:rPr/>
        <w:t xml:space="preserve"> к организации общественного питания населения.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3.14. В организациях труда и отдыха (полевой практики)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3.14.1.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Дети должны работать в головных уборах.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температурах воздуха от 25 °C до 28 °C продолжительность работы должна составлять не более 2,5 часов для лиц в возрасте от 14 до 16 лет. Для лиц от 16 до 18 лет - не более 3,5 часов.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3.14.2. Запрещается труд детей после 20:00 часов.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3.14.5. В зависимости от используемой формы для организации и размещения лагеря труда и отдыха к его обустройству применяются требования </w:t>
      </w:r>
      <w:hyperlink w:anchor="Par629">
        <w:r>
          <w:rPr>
            <w:color w:val="0000FF"/>
          </w:rPr>
          <w:t>пунктов 3.10</w:t>
        </w:r>
      </w:hyperlink>
      <w:r>
        <w:rPr/>
        <w:t xml:space="preserve">, </w:t>
      </w:r>
      <w:hyperlink w:anchor="Par633">
        <w:r>
          <w:rPr>
            <w:color w:val="0000FF"/>
          </w:rPr>
          <w:t>3.11</w:t>
        </w:r>
      </w:hyperlink>
      <w:r>
        <w:rPr/>
        <w:t xml:space="preserve">, </w:t>
      </w:r>
      <w:hyperlink w:anchor="Par668">
        <w:r>
          <w:rPr>
            <w:color w:val="0000FF"/>
          </w:rPr>
          <w:t>3.12</w:t>
        </w:r>
      </w:hyperlink>
      <w:r>
        <w:rPr/>
        <w:t xml:space="preserve"> Правил 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3.14.6. Прием детей осуществляется при наличии справки о состоянии здоровья ребенка, направляемого в организацию отдыха детей и их оздоровления, содержащую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3.15.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представителей), им должны быть обеспечены условия для проживания с соблюдением норм площади, соблюдения правил личной гигиены, питания, организован питьевой режим.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КонсультантПлюс: примечание.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firstLine="540"/>
        <w:jc w:val="both"/>
        <w:rPr/>
      </w:pPr>
      <w:r>
        <w:rPr/>
        <w:t>3.15. При проведении массовых мероприятий с участием детей и молодежи должны соблюдаться следующие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3.16.1. Хозяйствующие субъекты, деятельность которых связана с организацией и проведением массовых мероприятий с участием детей и молодежи, в срок не позднее чем за 1 месяц до начала мероприятия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сроках проведения дератизационных, дезинсекционных мероприятий и о противоклещевых обработках (в случае если мероприятие проводится в теплое время года и в природных условиях).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4.1. Организаторами поездок организованных групп детей железнодорожным транспортом: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организуется питание организованных групп детей с интервалами не более 4 часов;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4.2.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4.3. При нахождении в пути свыше 1 дня организуется горячее питание.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Кратность приема пищи определяется временем нахождения групп детей в пути следования, времени суток и в соответствии с физиологическими потребностями.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нахождении в пути следования менее 1 дня (менее 24 часов) питание детей осуществляется в соответствии с гигиеническими нормативами.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4.4.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4.5.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надзора, по месту отправления с указанием следующих сведений: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наименование или фамилия, имя, отчество (при наличии) организатора отдыха групп детей;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адрес местонахождения организатора;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дата выезда, станция отправления и назначения, номер поезда и вагона, его вид;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количество детей и сопровождающих;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наличие медицинского сопровождения;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наименование и адрес конечного пункта назначения;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планируемый тип питания в пути следования.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52886&amp;dst=238" TargetMode="External"/><Relationship Id="rId3" Type="http://schemas.openxmlformats.org/officeDocument/2006/relationships/hyperlink" Target="https://login.consultant.ru/link/?req=doc&amp;base=LAW&amp;n=55707&amp;dst=100137" TargetMode="External"/><Relationship Id="rId4" Type="http://schemas.openxmlformats.org/officeDocument/2006/relationships/hyperlink" Target="https://login.consultant.ru/link/?req=doc&amp;base=LAW&amp;n=172399" TargetMode="External"/><Relationship Id="rId5" Type="http://schemas.openxmlformats.org/officeDocument/2006/relationships/hyperlink" Target="https://login.consultant.ru/link/?req=doc&amp;base=LAW&amp;n=112428" TargetMode="External"/><Relationship Id="rId6" Type="http://schemas.openxmlformats.org/officeDocument/2006/relationships/hyperlink" Target="https://login.consultant.ru/link/?req=doc&amp;base=LAW&amp;n=103557" TargetMode="External"/><Relationship Id="rId7" Type="http://schemas.openxmlformats.org/officeDocument/2006/relationships/hyperlink" Target="https://login.consultant.ru/link/?req=doc&amp;base=LAW&amp;n=203301" TargetMode="External"/><Relationship Id="rId8" Type="http://schemas.openxmlformats.org/officeDocument/2006/relationships/hyperlink" Target="https://login.consultant.ru/link/?req=doc&amp;base=LAW&amp;n=68860" TargetMode="External"/><Relationship Id="rId9" Type="http://schemas.openxmlformats.org/officeDocument/2006/relationships/hyperlink" Target="https://login.consultant.ru/link/?req=doc&amp;base=LAW&amp;n=68862" TargetMode="External"/><Relationship Id="rId10" Type="http://schemas.openxmlformats.org/officeDocument/2006/relationships/hyperlink" Target="https://login.consultant.ru/link/?req=doc&amp;base=LAW&amp;n=327899" TargetMode="External"/><Relationship Id="rId11" Type="http://schemas.openxmlformats.org/officeDocument/2006/relationships/hyperlink" Target="https://login.consultant.ru/link/?req=doc&amp;base=LAW&amp;n=93771" TargetMode="External"/><Relationship Id="rId12" Type="http://schemas.openxmlformats.org/officeDocument/2006/relationships/hyperlink" Target="https://login.consultant.ru/link/?req=doc&amp;base=LAW&amp;n=93546" TargetMode="External"/><Relationship Id="rId13" Type="http://schemas.openxmlformats.org/officeDocument/2006/relationships/hyperlink" Target="https://login.consultant.ru/link/?req=doc&amp;base=LAW&amp;n=215353" TargetMode="External"/><Relationship Id="rId14" Type="http://schemas.openxmlformats.org/officeDocument/2006/relationships/hyperlink" Target="https://login.consultant.ru/link/?req=doc&amp;base=LAW&amp;n=101234" TargetMode="External"/><Relationship Id="rId15" Type="http://schemas.openxmlformats.org/officeDocument/2006/relationships/hyperlink" Target="https://login.consultant.ru/link/?req=doc&amp;base=LAW&amp;n=103505" TargetMode="External"/><Relationship Id="rId16" Type="http://schemas.openxmlformats.org/officeDocument/2006/relationships/hyperlink" Target="https://login.consultant.ru/link/?req=doc&amp;base=LAW&amp;n=105957" TargetMode="External"/><Relationship Id="rId17" Type="http://schemas.openxmlformats.org/officeDocument/2006/relationships/hyperlink" Target="https://login.consultant.ru/link/?req=doc&amp;base=LAW&amp;n=325763" TargetMode="External"/><Relationship Id="rId18" Type="http://schemas.openxmlformats.org/officeDocument/2006/relationships/hyperlink" Target="https://login.consultant.ru/link/?req=doc&amp;base=LAW&amp;n=112397" TargetMode="External"/><Relationship Id="rId19" Type="http://schemas.openxmlformats.org/officeDocument/2006/relationships/hyperlink" Target="https://login.consultant.ru/link/?req=doc&amp;base=LAW&amp;n=215352" TargetMode="External"/><Relationship Id="rId20" Type="http://schemas.openxmlformats.org/officeDocument/2006/relationships/hyperlink" Target="https://login.consultant.ru/link/?req=doc&amp;base=LAW&amp;n=123619" TargetMode="External"/><Relationship Id="rId21" Type="http://schemas.openxmlformats.org/officeDocument/2006/relationships/hyperlink" Target="https://login.consultant.ru/link/?req=doc&amp;base=LAW&amp;n=112060" TargetMode="External"/><Relationship Id="rId22" Type="http://schemas.openxmlformats.org/officeDocument/2006/relationships/hyperlink" Target="https://login.consultant.ru/link/?req=doc&amp;base=LAW&amp;n=215351" TargetMode="External"/><Relationship Id="rId23" Type="http://schemas.openxmlformats.org/officeDocument/2006/relationships/hyperlink" Target="https://login.consultant.ru/link/?req=doc&amp;base=LAW&amp;n=185747" TargetMode="External"/><Relationship Id="rId24" Type="http://schemas.openxmlformats.org/officeDocument/2006/relationships/hyperlink" Target="https://login.consultant.ru/link/?req=doc&amp;base=LAW&amp;n=184894" TargetMode="External"/><Relationship Id="rId25" Type="http://schemas.openxmlformats.org/officeDocument/2006/relationships/hyperlink" Target="https://login.consultant.ru/link/?req=doc&amp;base=LAW&amp;n=160932" TargetMode="External"/><Relationship Id="rId26" Type="http://schemas.openxmlformats.org/officeDocument/2006/relationships/hyperlink" Target="https://login.consultant.ru/link/?req=doc&amp;base=LAW&amp;n=215350" TargetMode="External"/><Relationship Id="rId27" Type="http://schemas.openxmlformats.org/officeDocument/2006/relationships/hyperlink" Target="https://login.consultant.ru/link/?req=doc&amp;base=LAW&amp;n=168723" TargetMode="External"/><Relationship Id="rId28" Type="http://schemas.openxmlformats.org/officeDocument/2006/relationships/hyperlink" Target="https://login.consultant.ru/link/?req=doc&amp;base=LAW&amp;n=172372" TargetMode="External"/><Relationship Id="rId29" Type="http://schemas.openxmlformats.org/officeDocument/2006/relationships/hyperlink" Target="https://login.consultant.ru/link/?req=doc&amp;base=LAW&amp;n=177244" TargetMode="External"/><Relationship Id="rId30" Type="http://schemas.openxmlformats.org/officeDocument/2006/relationships/hyperlink" Target="https://login.consultant.ru/link/?req=doc&amp;base=LAW&amp;n=183968" TargetMode="External"/><Relationship Id="rId31" Type="http://schemas.openxmlformats.org/officeDocument/2006/relationships/hyperlink" Target="https://login.consultant.ru/link/?req=doc&amp;base=LAW&amp;n=184630" TargetMode="External"/><Relationship Id="rId32" Type="http://schemas.openxmlformats.org/officeDocument/2006/relationships/hyperlink" Target="https://login.consultant.ru/link/?req=doc&amp;base=LAW&amp;n=185728" TargetMode="External"/><Relationship Id="rId33" Type="http://schemas.openxmlformats.org/officeDocument/2006/relationships/hyperlink" Target="https://login.consultant.ru/link/?req=doc&amp;base=LAW&amp;n=190919" TargetMode="External"/><Relationship Id="rId34" Type="http://schemas.openxmlformats.org/officeDocument/2006/relationships/hyperlink" Target="https://login.consultant.ru/link/?req=doc&amp;base=LAW&amp;n=184835" TargetMode="External"/><Relationship Id="rId35" Type="http://schemas.openxmlformats.org/officeDocument/2006/relationships/hyperlink" Target="https://login.consultant.ru/link/?req=doc&amp;base=LAW&amp;n=215323" TargetMode="External"/><Relationship Id="rId36" Type="http://schemas.openxmlformats.org/officeDocument/2006/relationships/hyperlink" Target="https://login.consultant.ru/link/?req=doc&amp;base=LAW&amp;n=322027" TargetMode="External"/><Relationship Id="rId37" Type="http://schemas.openxmlformats.org/officeDocument/2006/relationships/hyperlink" Target="https://login.consultant.ru/link/?req=doc&amp;base=LAW&amp;n=325623" TargetMode="External"/><Relationship Id="rId38" Type="http://schemas.openxmlformats.org/officeDocument/2006/relationships/hyperlink" Target="https://login.consultant.ru/link/?req=doc&amp;base=LAW&amp;n=452886&amp;dst=100449" TargetMode="External"/><Relationship Id="rId39" Type="http://schemas.openxmlformats.org/officeDocument/2006/relationships/hyperlink" Target="https://login.consultant.ru/link/?req=doc&amp;base=LAW&amp;n=343200" TargetMode="External"/><Relationship Id="rId40" Type="http://schemas.openxmlformats.org/officeDocument/2006/relationships/hyperlink" Target="https://login.consultant.ru/link/?req=doc&amp;base=LAW&amp;n=376511" TargetMode="External"/><Relationship Id="rId41" Type="http://schemas.openxmlformats.org/officeDocument/2006/relationships/hyperlink" Target="https://login.consultant.ru/link/?req=doc&amp;base=LAW&amp;n=452886&amp;dst=100212" TargetMode="External"/><Relationship Id="rId42" Type="http://schemas.openxmlformats.org/officeDocument/2006/relationships/hyperlink" Target="https://login.consultant.ru/link/?req=doc&amp;base=LAW&amp;n=419887&amp;dst=100251" TargetMode="External"/><Relationship Id="rId43" Type="http://schemas.openxmlformats.org/officeDocument/2006/relationships/hyperlink" Target="https://login.consultant.ru/link/?req=doc&amp;base=LAW&amp;n=478592&amp;dst=102" TargetMode="External"/><Relationship Id="rId44" Type="http://schemas.openxmlformats.org/officeDocument/2006/relationships/hyperlink" Target="https://login.consultant.ru/link/?req=doc&amp;base=LAW&amp;n=131318&amp;dst=100012" TargetMode="External"/><Relationship Id="rId45" Type="http://schemas.openxmlformats.org/officeDocument/2006/relationships/hyperlink" Target="https://login.consultant.ru/link/?req=doc&amp;base=LAW&amp;n=131318&amp;dst=100012" TargetMode="External"/><Relationship Id="rId46" Type="http://schemas.openxmlformats.org/officeDocument/2006/relationships/hyperlink" Target="https://login.consultant.ru/link/?req=doc&amp;base=LAW&amp;n=477673&amp;dst=7769" TargetMode="External"/><Relationship Id="rId47" Type="http://schemas.openxmlformats.org/officeDocument/2006/relationships/hyperlink" Target="https://login.consultant.ru/link/?req=doc&amp;base=LAW&amp;n=477673" TargetMode="External"/><Relationship Id="rId48" Type="http://schemas.openxmlformats.org/officeDocument/2006/relationships/hyperlink" Target="https://login.consultant.ru/link/?req=doc&amp;base=LAW&amp;n=478592&amp;dst=102" TargetMode="External"/><Relationship Id="rId49" Type="http://schemas.openxmlformats.org/officeDocument/2006/relationships/hyperlink" Target="https://login.consultant.ru/link/?req=doc&amp;base=LAW&amp;n=414860&amp;dst=100027" TargetMode="External"/><Relationship Id="rId50" Type="http://schemas.openxmlformats.org/officeDocument/2006/relationships/hyperlink" Target="https://login.consultant.ru/link/?req=doc&amp;base=LAW&amp;n=409735&amp;dst=100243" TargetMode="External"/><Relationship Id="rId51" Type="http://schemas.openxmlformats.org/officeDocument/2006/relationships/hyperlink" Target="https://login.consultant.ru/link/?req=doc&amp;base=LAW&amp;n=441707&amp;dst=153980" TargetMode="External"/><Relationship Id="rId52" Type="http://schemas.openxmlformats.org/officeDocument/2006/relationships/hyperlink" Target="https://login.consultant.ru/link/?req=doc&amp;base=LAW&amp;n=414860&amp;dst=100034" TargetMode="External"/><Relationship Id="rId53" Type="http://schemas.openxmlformats.org/officeDocument/2006/relationships/hyperlink" Target="https://login.consultant.ru/link/?req=doc&amp;base=LAW&amp;n=452886&amp;dst=100189" TargetMode="External"/><Relationship Id="rId54" Type="http://schemas.openxmlformats.org/officeDocument/2006/relationships/hyperlink" Target="https://login.consultant.ru/link/?req=doc&amp;base=LAW&amp;n=458593&amp;dst=100737" TargetMode="External"/><Relationship Id="rId55" Type="http://schemas.openxmlformats.org/officeDocument/2006/relationships/hyperlink" Target="https://login.consultant.ru/link/?req=doc&amp;base=LAW&amp;n=452886&amp;dst=227" TargetMode="External"/><Relationship Id="rId56" Type="http://schemas.openxmlformats.org/officeDocument/2006/relationships/hyperlink" Target="https://login.consultant.ru/link/?req=doc&amp;base=LAW&amp;n=478592&amp;dst=100196" TargetMode="External"/><Relationship Id="rId57" Type="http://schemas.openxmlformats.org/officeDocument/2006/relationships/hyperlink" Target="https://login.consultant.ru/link/?req=doc&amp;base=LAW&amp;n=115476&amp;dst=100008" TargetMode="External"/><Relationship Id="rId58" Type="http://schemas.openxmlformats.org/officeDocument/2006/relationships/hyperlink" Target="https://login.consultant.ru/link/?req=doc&amp;base=LAW&amp;n=476883&amp;dst=35" TargetMode="External"/><Relationship Id="rId59" Type="http://schemas.openxmlformats.org/officeDocument/2006/relationships/hyperlink" Target="https://login.consultant.ru/link/?req=doc&amp;base=LAW&amp;n=452886&amp;dst=100189" TargetMode="External"/><Relationship Id="rId60" Type="http://schemas.openxmlformats.org/officeDocument/2006/relationships/hyperlink" Target="https://login.consultant.ru/link/?req=doc&amp;base=LAW&amp;n=367564&amp;dst=100037" TargetMode="External"/><Relationship Id="rId61" Type="http://schemas.openxmlformats.org/officeDocument/2006/relationships/fontTable" Target="fontTable.xml"/><Relationship Id="rId6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29</Pages>
  <Words>17160</Words>
  <Characters>123458</Characters>
  <CharactersWithSpaces>139912</CharactersWithSpaces>
  <Paragraphs>706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2024-07-16T10:36:00Z</dcterms:created>
  <dc:creator/>
  <dc:description/>
  <dc:language>ru-RU</dc:language>
  <cp:lastModifiedBy/>
  <dcterms:modified xsi:type="dcterms:W3CDTF">2024-07-16T10:37:40Z</dcterms:modified>
  <cp:revision>1</cp:revision>
  <dc:subject/>
  <dc:title>Постановление Главного государственного санитарного врача РФ от 28.09.2020 N 28"Об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молодежи"(вместе с "СП 2.4.3648-20. Санитарные правила...")(Зарегистрировано в Минюсте России 18.12.2020 N 61573)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